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 w:line="56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方正小标宋简体"/>
          <w:b/>
          <w:bCs/>
          <w:sz w:val="36"/>
          <w:szCs w:val="36"/>
        </w:rPr>
        <w:t>中南林业科技大学涉外学院</w:t>
      </w:r>
      <w:r>
        <w:rPr>
          <w:rFonts w:ascii="宋体" w:hAnsi="宋体" w:cs="方正小标宋简体"/>
          <w:b/>
          <w:bCs/>
          <w:sz w:val="36"/>
          <w:szCs w:val="36"/>
        </w:rPr>
        <w:t>202</w:t>
      </w:r>
      <w:r>
        <w:rPr>
          <w:rFonts w:hint="eastAsia" w:ascii="宋体" w:hAnsi="宋体" w:cs="方正小标宋简体"/>
          <w:b/>
          <w:bCs/>
          <w:sz w:val="36"/>
          <w:szCs w:val="36"/>
        </w:rPr>
        <w:t>1年“专升本”</w:t>
      </w:r>
    </w:p>
    <w:p>
      <w:pPr>
        <w:widowControl/>
        <w:shd w:val="clear" w:color="auto" w:fill="FFFFFF"/>
        <w:spacing w:after="312" w:afterLines="100" w:line="56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方正小标宋简体"/>
          <w:b/>
          <w:bCs/>
          <w:sz w:val="36"/>
          <w:szCs w:val="36"/>
        </w:rPr>
        <w:t>《民法学》课程考试大纲</w:t>
      </w:r>
    </w:p>
    <w:p>
      <w:pPr>
        <w:pStyle w:val="15"/>
        <w:widowControl/>
        <w:numPr>
          <w:ilvl w:val="0"/>
          <w:numId w:val="2"/>
        </w:numPr>
        <w:shd w:val="clear" w:color="auto" w:fill="FFFFFF"/>
        <w:spacing w:line="560" w:lineRule="atLeast"/>
        <w:ind w:firstLineChars="0"/>
        <w:rPr>
          <w:rFonts w:ascii="仿宋" w:hAnsi="仿宋" w:eastAsia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widowControl/>
        <w:shd w:val="clear" w:color="auto" w:fill="FFFFFF"/>
        <w:spacing w:line="560" w:lineRule="atLeas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考试是为法学专业招收“专升本”学生而实施的具有选拔功能的水平考试，其指导思想是既要有利于国家对高层次人才的选拔，又要有利于促进高等学校专业课程教学质量的提高，考试对象为2021年参加“专升本”考试的考生。</w:t>
      </w:r>
    </w:p>
    <w:p>
      <w:pPr>
        <w:pStyle w:val="15"/>
        <w:widowControl/>
        <w:shd w:val="clear" w:color="auto" w:fill="FFFFFF"/>
        <w:spacing w:line="560" w:lineRule="atLeast"/>
        <w:ind w:firstLine="48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《民法学》课程是法学专业的必修专业基础课。本课程要求学生理解和掌握民法学的基本概念、基本原理，能运用民法学基本知识分析问题、解决问题。</w:t>
      </w:r>
    </w:p>
    <w:p>
      <w:pPr>
        <w:widowControl/>
        <w:shd w:val="clear" w:color="auto" w:fill="FFFFFF"/>
        <w:spacing w:line="560" w:lineRule="atLeast"/>
        <w:rPr>
          <w:rFonts w:ascii="仿宋" w:hAnsi="仿宋" w:eastAsia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</w:rPr>
        <w:t>二、</w:t>
      </w: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考试方式、时间、题型及比例</w:t>
      </w:r>
    </w:p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1、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考试方式：闭卷笔试</w:t>
      </w:r>
    </w:p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2、考试时间：120分钟</w:t>
      </w:r>
    </w:p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3、题型比例</w:t>
      </w:r>
    </w:p>
    <w:p>
      <w:pPr>
        <w:pStyle w:val="15"/>
        <w:widowControl/>
        <w:shd w:val="clear" w:color="auto" w:fill="FFFFFF"/>
        <w:spacing w:line="560" w:lineRule="atLeast"/>
        <w:ind w:firstLine="48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总分值为100分。考试题型主要为：单项选择题、名词解释题、简答题、案例分析题。考试内容大致比例如下：</w:t>
      </w:r>
    </w:p>
    <w:tbl>
      <w:tblPr>
        <w:tblStyle w:val="7"/>
        <w:tblW w:w="6958" w:type="dxa"/>
        <w:tblInd w:w="-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557"/>
        <w:gridCol w:w="1489"/>
        <w:gridCol w:w="1488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7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55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单项选择题</w:t>
            </w:r>
          </w:p>
        </w:tc>
        <w:tc>
          <w:tcPr>
            <w:tcW w:w="1489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名词解释题</w:t>
            </w:r>
          </w:p>
        </w:tc>
        <w:tc>
          <w:tcPr>
            <w:tcW w:w="1488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简答题</w:t>
            </w:r>
          </w:p>
        </w:tc>
        <w:tc>
          <w:tcPr>
            <w:tcW w:w="154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案例分析题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7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155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30%</w:t>
            </w:r>
          </w:p>
        </w:tc>
        <w:tc>
          <w:tcPr>
            <w:tcW w:w="1489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  <w:tc>
          <w:tcPr>
            <w:tcW w:w="1488" w:type="dxa"/>
            <w:shd w:val="clear" w:color="auto" w:fill="auto"/>
          </w:tcPr>
          <w:p>
            <w:pPr>
              <w:widowControl/>
              <w:shd w:val="clear" w:color="auto" w:fill="FFFFFF"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30%</w:t>
            </w:r>
          </w:p>
        </w:tc>
        <w:tc>
          <w:tcPr>
            <w:tcW w:w="1547" w:type="dxa"/>
            <w:shd w:val="clear" w:color="auto" w:fill="auto"/>
          </w:tcPr>
          <w:p>
            <w:pPr>
              <w:widowControl/>
              <w:spacing w:line="560" w:lineRule="atLeas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</w:tbl>
    <w:p>
      <w:pPr>
        <w:widowControl/>
        <w:shd w:val="clear" w:color="auto" w:fill="FFFFFF"/>
        <w:spacing w:line="560" w:lineRule="atLeast"/>
        <w:ind w:left="359" w:leftChars="171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4、试题难度比例</w:t>
      </w:r>
    </w:p>
    <w:p>
      <w:pPr>
        <w:widowControl/>
        <w:shd w:val="clear" w:color="auto" w:fill="FFFFFF"/>
        <w:spacing w:line="560" w:lineRule="atLeast"/>
        <w:ind w:left="359" w:leftChars="171" w:firstLine="240" w:firstLineChars="1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容易题、中等难度题、难题比例分别为30%、50%、20%。</w:t>
      </w:r>
    </w:p>
    <w:p>
      <w:pPr>
        <w:widowControl/>
        <w:shd w:val="clear" w:color="auto" w:fill="FFFFFF"/>
        <w:spacing w:line="560" w:lineRule="atLeast"/>
        <w:rPr>
          <w:rFonts w:ascii="仿宋" w:hAnsi="仿宋" w:eastAsia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</w:rPr>
        <w:t>三、</w:t>
      </w: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考试内容及考试要求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 民法总则</w:t>
      </w:r>
    </w:p>
    <w:p>
      <w:pPr>
        <w:spacing w:line="560" w:lineRule="atLeast"/>
        <w:ind w:left="4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1、民法概念、调整对象、民法的性质、民法的适用。（识记）</w:t>
      </w:r>
    </w:p>
    <w:p>
      <w:pPr>
        <w:spacing w:line="560" w:lineRule="atLeast"/>
        <w:ind w:left="4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2、民法的基本原则。（理解）</w:t>
      </w:r>
    </w:p>
    <w:p>
      <w:pPr>
        <w:spacing w:line="560" w:lineRule="atLeast"/>
        <w:ind w:left="4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3、民事法律关系概述：民事法律关系的要素；民事法律事实；民事权利客体。（理解）</w:t>
      </w:r>
    </w:p>
    <w:p>
      <w:pPr>
        <w:spacing w:line="560" w:lineRule="atLeast"/>
        <w:ind w:left="4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4、自然人的民事权利能力；自然人的民事行为能力；宣告失踪和宣告死亡；监护；个体工商户和农村承包经营户；自然人的身份证明和住址。（理解）</w:t>
      </w:r>
    </w:p>
    <w:p>
      <w:pPr>
        <w:spacing w:line="560" w:lineRule="atLeast"/>
        <w:ind w:left="4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5、法人概述； 法人的分类； 法人的民事权利能力和民事行为能力； 法人的设立与登记；法人的法定代表人； 法人的终止； 营利法人： 非营利法人： 特别法人。（理解）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6、非法人组织。（理解）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7、民事权利。（理解）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8、民事法律行为概念；民事法律行为的分类和形式；意思表示； 附条件与附期限的民事行为；民事法律行为。（应用）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9、代理概述；代理权；代理权的行使；代理行为及其效果；代理权的消灭；无权代理的效力。（识记）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10、民事责任概述；民事责任的分类；民事责任的承担方式；民事责任的减轻和免除；侵害英雄烈士等人格利益的民事责任；违约责任与侵权责任的竞合。（理解）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11、时效制度。（应用）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12、期间与期日。（理解）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（二）物权编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1、物权的概念、性质与特征；物权的客体；物权的效力；物权的类型。（理解）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2、物权法的含义；物权法的基本原则。（理解）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3、物权变动。（理解）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4、物权的保护。（理解）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5、所有权概述；征收与征用；国家所有权、集体所有权与私人所有权；业主的建筑物区分所有权；相邻关系。（理解）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6、用益物权；土地承包经营权；建设用地使用权；宅基地使用权； 地役权。（应用）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7、担保物权；抵押权；质权；留置权。（应用）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8、占有的效力；占有的保护；准占有。（理解）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（三）合同编（含债权总论）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1、债的概念和特征；债的要素。（识记）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2、债的发生。（理解）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3、债的分类。（理解）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4、债的担保；保证；定金。（应用）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5、合同的概念和特征；合同的分类；合同关系。（识记）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6、合同成立；要约；承诺；合同成立的其他问题；缔约过失责任。（理解）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7、合同的内容和形式。（识记）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8、合同的效力。（应用）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9、合同的履行。（理解）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10、合同的保全。（应用）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11、合同的变更和转让。（应用）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12、合同的终止。（应用）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13、违约责任。（应用）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14、买卖合同的概念、特征；买卖合同当事人的权利与义务；买卖合同中的风险负担与利益承受。（应用）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15、赠与合同的概念和特征；赠与合同的效力；赠与的撤销；赠与合同的终止。（理解）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16、借款合同的概念与特征；借款合同当事人的权利与义务。（理解）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17、租赁合同的概念和特征；租赁合同当事人的权利与义务。（理解）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18、融资租赁合同的概念、特征； 融资租赁合同的效力。（理解）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19、承揽合同的概念、特征以及当事人权利与义务。（理解）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20、建设工程合同。（理解）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21、运输合同的概念、特征以及当事人的权利与义务。（理解）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22、保管合同的概念、特征及当事人的权利与义务。（理解）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23、仓储合同的概念、特征以及当事人的权利与义务。（理解）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24、委托合同的概念、特征以及当事人的权利与义务。（理解）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25、行纪合同。（理解）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26、居间合同的概念， 特征以及当事人的权利与义务。（理解）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27、技术合同。（理解）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（四）人格权编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1、人格权概述。（识记）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2、人格权的种类；人格权的民法保护；人格权与其他民事权利。（理解）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3、一般人格权；具体人格权。（理解）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（五）侵权责任编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1、侵权责任法与侵权行为概述；侵权责任法的调解功能和保护范围；侵权行为及其形态。（理解）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2、侵权责任归责原则；侵权责任构成要件。（理解）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3、侵权责任方式；侵权责任竞合与侵权责任并合；侵权责任的免责事由。（应用）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4、一般侵权责任类型。（应用）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5、特殊侵权责任类型。（应用）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6、侵权责任形态。（应用）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（六）婚姻家庭编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1、亲属法与亲属关系；亲属法；亲属；亲属身份关系；身份法律行为。（理解）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2、身份权概述；身份权的内容；身份权的行使与消灭。（理解）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3、亲属身份的发生和消灭；结婚；离婚；亲子；收养。（理解）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4、亲属身份关系；配偶权；亲权；亲属权。（理解）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5、亲属财产关系概述； 夫妻共有财产； 家庭共有财产。（理解）</w:t>
      </w:r>
    </w:p>
    <w:p>
      <w:pPr>
        <w:spacing w:line="560" w:lineRule="atLeas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（七）继承编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1、继承法与继承权；继承与继承法；继承法律关系；继承权。（应用）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2、遗产继承；遗嘱继承；法定继承。（应用）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3、遗产与赠与；遗赠；遗赠扶养协议。（识记）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4、遗产处置；遗产处理；共同继承；遗产分割。（应用）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【注】本大纲考核要求中的“识记”“理解”“应用”的具体含义是：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识记：对所列知识要求知道其内容及含义， 并能在有关问题中识别和直接使用。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理解：对所列知识要求理解其确切含义及与其他知识的联系， 能够进行叙述和解释。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应用：对所列知识要求能在实际问题的分析、综合、推理和判断等过程中应用。</w:t>
      </w:r>
    </w:p>
    <w:p>
      <w:pPr>
        <w:widowControl/>
        <w:shd w:val="clear" w:color="auto" w:fill="FFFFFF"/>
        <w:spacing w:line="560" w:lineRule="atLeast"/>
        <w:rPr>
          <w:rFonts w:ascii="仿宋" w:hAnsi="仿宋" w:eastAsia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</w:rPr>
        <w:t>四、</w:t>
      </w: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其他说明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携带黑色水性笔和2B铅笔参加考试。</w:t>
      </w:r>
    </w:p>
    <w:p>
      <w:pPr>
        <w:widowControl/>
        <w:numPr>
          <w:ilvl w:val="0"/>
          <w:numId w:val="3"/>
        </w:numPr>
        <w:shd w:val="clear" w:color="auto" w:fill="FFFFFF"/>
        <w:spacing w:line="560" w:lineRule="atLeast"/>
        <w:rPr>
          <w:rFonts w:ascii="仿宋" w:hAnsi="仿宋" w:eastAsia="仿宋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color w:val="000000"/>
          <w:kern w:val="0"/>
          <w:sz w:val="24"/>
          <w:szCs w:val="24"/>
        </w:rPr>
        <w:t>参考书目</w:t>
      </w:r>
    </w:p>
    <w:p>
      <w:pPr>
        <w:spacing w:line="560" w:lineRule="atLeast"/>
        <w:ind w:left="425"/>
        <w:rPr>
          <w:rFonts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《民法学》编写组，《民法学》（马克思主义理论研究和建设工程重点教材），北京：高等教育出版社，2019年1月。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615021"/>
    <w:multiLevelType w:val="singleLevel"/>
    <w:tmpl w:val="AC61502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9049DB"/>
    <w:multiLevelType w:val="multilevel"/>
    <w:tmpl w:val="429049DB"/>
    <w:lvl w:ilvl="0" w:tentative="0">
      <w:start w:val="1"/>
      <w:numFmt w:val="japaneseCounting"/>
      <w:lvlText w:val="第%1章"/>
      <w:lvlJc w:val="left"/>
      <w:pPr>
        <w:tabs>
          <w:tab w:val="left" w:pos="1275"/>
        </w:tabs>
        <w:ind w:left="1275" w:hanging="1275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japaneseCounting"/>
      <w:lvlText w:val="第%3节"/>
      <w:lvlJc w:val="left"/>
      <w:pPr>
        <w:tabs>
          <w:tab w:val="left" w:pos="1830"/>
        </w:tabs>
        <w:ind w:left="1830" w:hanging="990"/>
      </w:pPr>
      <w:rPr>
        <w:rFonts w:hint="eastAsia"/>
      </w:rPr>
    </w:lvl>
    <w:lvl w:ilvl="3" w:tentative="0">
      <w:start w:val="1"/>
      <w:numFmt w:val="decimal"/>
      <w:pStyle w:val="6"/>
      <w:lvlText w:val="%4、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2040"/>
        </w:tabs>
        <w:ind w:left="2040" w:hanging="36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、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decimal"/>
      <w:lvlText w:val="%9)"/>
      <w:lvlJc w:val="lef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2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8B6"/>
    <w:rsid w:val="00075312"/>
    <w:rsid w:val="00082DBE"/>
    <w:rsid w:val="000C1BD0"/>
    <w:rsid w:val="000C6EAE"/>
    <w:rsid w:val="000D0C6F"/>
    <w:rsid w:val="000D6F9B"/>
    <w:rsid w:val="000E172D"/>
    <w:rsid w:val="0011347D"/>
    <w:rsid w:val="00113524"/>
    <w:rsid w:val="001140E3"/>
    <w:rsid w:val="001307AF"/>
    <w:rsid w:val="00133305"/>
    <w:rsid w:val="00175746"/>
    <w:rsid w:val="001A3743"/>
    <w:rsid w:val="001A6A51"/>
    <w:rsid w:val="001B6FC5"/>
    <w:rsid w:val="00206940"/>
    <w:rsid w:val="00223CB2"/>
    <w:rsid w:val="00280BEF"/>
    <w:rsid w:val="002B6E7E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A45B0"/>
    <w:rsid w:val="004B77B3"/>
    <w:rsid w:val="004D6FD9"/>
    <w:rsid w:val="004E74D4"/>
    <w:rsid w:val="004F1957"/>
    <w:rsid w:val="00520C02"/>
    <w:rsid w:val="0052316C"/>
    <w:rsid w:val="0054387B"/>
    <w:rsid w:val="00553B64"/>
    <w:rsid w:val="0057139D"/>
    <w:rsid w:val="005779CF"/>
    <w:rsid w:val="00590BF0"/>
    <w:rsid w:val="005B7532"/>
    <w:rsid w:val="005F20D6"/>
    <w:rsid w:val="00654E13"/>
    <w:rsid w:val="00660DDF"/>
    <w:rsid w:val="006E4184"/>
    <w:rsid w:val="007565E8"/>
    <w:rsid w:val="0076776E"/>
    <w:rsid w:val="007A24B5"/>
    <w:rsid w:val="007A7245"/>
    <w:rsid w:val="007B2ECA"/>
    <w:rsid w:val="007D1F6B"/>
    <w:rsid w:val="007E536B"/>
    <w:rsid w:val="008133C0"/>
    <w:rsid w:val="008731F6"/>
    <w:rsid w:val="00896E39"/>
    <w:rsid w:val="008A3643"/>
    <w:rsid w:val="008C4E0E"/>
    <w:rsid w:val="009048A1"/>
    <w:rsid w:val="009066F5"/>
    <w:rsid w:val="00931117"/>
    <w:rsid w:val="00937B51"/>
    <w:rsid w:val="009428B6"/>
    <w:rsid w:val="0097325A"/>
    <w:rsid w:val="009837D9"/>
    <w:rsid w:val="009F34F2"/>
    <w:rsid w:val="009F3E06"/>
    <w:rsid w:val="00A01F98"/>
    <w:rsid w:val="00A50576"/>
    <w:rsid w:val="00B01A80"/>
    <w:rsid w:val="00B14C7F"/>
    <w:rsid w:val="00B9478A"/>
    <w:rsid w:val="00BA51FC"/>
    <w:rsid w:val="00BD1D25"/>
    <w:rsid w:val="00BE2373"/>
    <w:rsid w:val="00C00371"/>
    <w:rsid w:val="00C36B52"/>
    <w:rsid w:val="00C9390C"/>
    <w:rsid w:val="00C94900"/>
    <w:rsid w:val="00CA1725"/>
    <w:rsid w:val="00CB239C"/>
    <w:rsid w:val="00CC29BD"/>
    <w:rsid w:val="00CC2CAB"/>
    <w:rsid w:val="00D16A70"/>
    <w:rsid w:val="00D21E9F"/>
    <w:rsid w:val="00D7161F"/>
    <w:rsid w:val="00D71D88"/>
    <w:rsid w:val="00D861AC"/>
    <w:rsid w:val="00DD6595"/>
    <w:rsid w:val="00E018E0"/>
    <w:rsid w:val="00E21D60"/>
    <w:rsid w:val="00E347D4"/>
    <w:rsid w:val="00E34DE4"/>
    <w:rsid w:val="00E54D15"/>
    <w:rsid w:val="00E56C3F"/>
    <w:rsid w:val="00E664DA"/>
    <w:rsid w:val="00EB2380"/>
    <w:rsid w:val="00EC10EE"/>
    <w:rsid w:val="00ED4822"/>
    <w:rsid w:val="00EE0E6C"/>
    <w:rsid w:val="00F0083C"/>
    <w:rsid w:val="00F1267B"/>
    <w:rsid w:val="00FA23F5"/>
    <w:rsid w:val="00FB60D4"/>
    <w:rsid w:val="00FC65A4"/>
    <w:rsid w:val="00FE6BF6"/>
    <w:rsid w:val="00FE7709"/>
    <w:rsid w:val="02A943BB"/>
    <w:rsid w:val="042E58B8"/>
    <w:rsid w:val="07D417A4"/>
    <w:rsid w:val="0C1F7B7A"/>
    <w:rsid w:val="0DF235DC"/>
    <w:rsid w:val="134A48E7"/>
    <w:rsid w:val="134D6BFF"/>
    <w:rsid w:val="1BA309B2"/>
    <w:rsid w:val="1ED17489"/>
    <w:rsid w:val="22A72483"/>
    <w:rsid w:val="27BE56B4"/>
    <w:rsid w:val="28787C7F"/>
    <w:rsid w:val="29862F21"/>
    <w:rsid w:val="2AB271C0"/>
    <w:rsid w:val="2E905BEA"/>
    <w:rsid w:val="3B5E0132"/>
    <w:rsid w:val="40C125E4"/>
    <w:rsid w:val="426E26DA"/>
    <w:rsid w:val="4468583B"/>
    <w:rsid w:val="44F427F8"/>
    <w:rsid w:val="45277013"/>
    <w:rsid w:val="4D724FDB"/>
    <w:rsid w:val="4D983E17"/>
    <w:rsid w:val="4F2D17E0"/>
    <w:rsid w:val="4FD26D4D"/>
    <w:rsid w:val="5007426D"/>
    <w:rsid w:val="569C100D"/>
    <w:rsid w:val="58535EBD"/>
    <w:rsid w:val="59693730"/>
    <w:rsid w:val="5D534328"/>
    <w:rsid w:val="65225776"/>
    <w:rsid w:val="65D41454"/>
    <w:rsid w:val="68151EB7"/>
    <w:rsid w:val="69CB244A"/>
    <w:rsid w:val="706B3B0D"/>
    <w:rsid w:val="7628614D"/>
    <w:rsid w:val="7F23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qFormat="1" w:unhideWhenUsed="0" w:uiPriority="2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6">
    <w:name w:val="toc 2"/>
    <w:basedOn w:val="1"/>
    <w:next w:val="1"/>
    <w:qFormat/>
    <w:locked/>
    <w:uiPriority w:val="2"/>
    <w:pPr>
      <w:numPr>
        <w:ilvl w:val="3"/>
        <w:numId w:val="1"/>
      </w:numPr>
      <w:tabs>
        <w:tab w:val="left" w:pos="540"/>
        <w:tab w:val="left" w:pos="900"/>
        <w:tab w:val="clear" w:pos="1980"/>
      </w:tabs>
      <w:ind w:left="540" w:firstLine="0"/>
    </w:pPr>
  </w:style>
  <w:style w:type="table" w:styleId="8">
    <w:name w:val="Table Grid"/>
    <w:basedOn w:val="7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99"/>
    <w:rPr>
      <w:color w:val="0000FF"/>
      <w:u w:val="single"/>
    </w:rPr>
  </w:style>
  <w:style w:type="character" w:customStyle="1" w:styleId="11">
    <w:name w:val="页眉 字符"/>
    <w:link w:val="4"/>
    <w:qFormat/>
    <w:locked/>
    <w:uiPriority w:val="99"/>
    <w:rPr>
      <w:kern w:val="2"/>
      <w:sz w:val="18"/>
      <w:szCs w:val="18"/>
    </w:rPr>
  </w:style>
  <w:style w:type="character" w:customStyle="1" w:styleId="12">
    <w:name w:val="页脚 字符"/>
    <w:link w:val="3"/>
    <w:qFormat/>
    <w:locked/>
    <w:uiPriority w:val="99"/>
    <w:rPr>
      <w:kern w:val="2"/>
      <w:sz w:val="18"/>
      <w:szCs w:val="18"/>
    </w:rPr>
  </w:style>
  <w:style w:type="character" w:customStyle="1" w:styleId="13">
    <w:name w:val="apple-converted-space"/>
    <w:basedOn w:val="9"/>
    <w:qFormat/>
    <w:uiPriority w:val="99"/>
  </w:style>
  <w:style w:type="paragraph" w:customStyle="1" w:styleId="14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文本缩进 3 字符"/>
    <w:link w:val="5"/>
    <w:qFormat/>
    <w:locked/>
    <w:uiPriority w:val="99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CSFU</Company>
  <Pages>6</Pages>
  <Words>377</Words>
  <Characters>2155</Characters>
  <Lines>17</Lines>
  <Paragraphs>5</Paragraphs>
  <TotalTime>7</TotalTime>
  <ScaleCrop>false</ScaleCrop>
  <LinksUpToDate>false</LinksUpToDate>
  <CharactersWithSpaces>2527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2018-04-04T00:30:00Z</dcterms:created>
  <dc:creator>马宗艳</dc:creator>
  <cp:lastModifiedBy>6</cp:lastModifiedBy>
  <cp:lastPrinted>2020-04-27T07:48:00Z</cp:lastPrinted>
  <dcterms:modified xsi:type="dcterms:W3CDTF">2021-03-08T03:32:00Z</dcterms:modified>
  <dc:title>中南林学院植物学教学大纲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55AD3DFE94EC4790BCE1F61B4195E44F</vt:lpwstr>
  </property>
</Properties>
</file>