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 w:line="56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方正小标宋简体"/>
          <w:b/>
          <w:bCs/>
          <w:sz w:val="36"/>
          <w:szCs w:val="36"/>
        </w:rPr>
        <w:t>中南林业科技大学涉外学院</w:t>
      </w:r>
      <w:r>
        <w:rPr>
          <w:rFonts w:ascii="宋体" w:hAnsi="宋体" w:cs="方正小标宋简体"/>
          <w:b/>
          <w:bCs/>
          <w:sz w:val="36"/>
          <w:szCs w:val="36"/>
        </w:rPr>
        <w:t>202</w:t>
      </w:r>
      <w:r>
        <w:rPr>
          <w:rFonts w:hint="eastAsia" w:ascii="宋体" w:hAnsi="宋体" w:cs="方正小标宋简体"/>
          <w:b/>
          <w:bCs/>
          <w:sz w:val="36"/>
          <w:szCs w:val="36"/>
        </w:rPr>
        <w:t>1年“专升本”</w:t>
      </w:r>
    </w:p>
    <w:p>
      <w:pPr>
        <w:widowControl/>
        <w:shd w:val="clear" w:color="auto" w:fill="FFFFFF"/>
        <w:spacing w:after="312" w:afterLines="100" w:line="56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方正小标宋简体"/>
          <w:b/>
          <w:bCs/>
          <w:sz w:val="36"/>
          <w:szCs w:val="36"/>
        </w:rPr>
        <w:t>《法理学》课程考试大纲</w:t>
      </w:r>
    </w:p>
    <w:p>
      <w:pPr>
        <w:pStyle w:val="17"/>
        <w:widowControl/>
        <w:numPr>
          <w:ilvl w:val="0"/>
          <w:numId w:val="2"/>
        </w:numPr>
        <w:shd w:val="clear" w:color="auto" w:fill="FFFFFF"/>
        <w:spacing w:line="560" w:lineRule="atLeast"/>
        <w:ind w:firstLineChars="0"/>
        <w:rPr>
          <w:rFonts w:ascii="仿宋" w:hAnsi="仿宋" w:eastAsia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widowControl/>
        <w:shd w:val="clear" w:color="auto" w:fill="FFFFFF"/>
        <w:spacing w:line="560" w:lineRule="atLeas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考试是为法学专业招收“专升本”学生而实施的具有选拔功能的水平考试，其指导思想是既要有利于国家对高层次人才的选拔，又要有利于促进高等学校专业课程教学质量的提高，考试对象为2021年参加“专升本”考试的考生。</w:t>
      </w:r>
    </w:p>
    <w:p>
      <w:pPr>
        <w:pStyle w:val="17"/>
        <w:widowControl/>
        <w:shd w:val="clear" w:color="auto" w:fill="FFFFFF"/>
        <w:spacing w:line="560" w:lineRule="atLeast"/>
        <w:ind w:firstLine="48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《法理学》课程是法学专业的必修专业基础课。本课程要求学生比较系统地掌握关于法与法学的基本概念、基本理论和基本原理；初步形成严谨的法律思维，包括理性思维、抽象思维、逻辑思维；运用法理知识分析、解释和解决具体法律问题的能力等。</w:t>
      </w:r>
    </w:p>
    <w:p>
      <w:pPr>
        <w:widowControl/>
        <w:shd w:val="clear" w:color="auto" w:fill="FFFFFF"/>
        <w:spacing w:line="560" w:lineRule="atLeast"/>
        <w:rPr>
          <w:rFonts w:ascii="仿宋" w:hAnsi="仿宋" w:eastAsia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1．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考试方式：闭卷笔试</w:t>
      </w:r>
    </w:p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2．考试时间：120分钟</w:t>
      </w:r>
    </w:p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3. 题型比例：</w:t>
      </w:r>
    </w:p>
    <w:p>
      <w:pPr>
        <w:widowControl/>
        <w:shd w:val="clear" w:color="auto" w:fill="FFFFFF"/>
        <w:spacing w:line="560" w:lineRule="atLeas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总分值为100分。考试题型主要为：单项选择题、填空题、判断题、简答题、综合应用（案例分析、论述）题。考试内容大致比例如下：</w:t>
      </w:r>
    </w:p>
    <w:tbl>
      <w:tblPr>
        <w:tblStyle w:val="9"/>
        <w:tblW w:w="7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64"/>
        <w:gridCol w:w="1247"/>
        <w:gridCol w:w="1084"/>
        <w:gridCol w:w="1362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9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题型</w:t>
            </w:r>
          </w:p>
        </w:tc>
        <w:tc>
          <w:tcPr>
            <w:tcW w:w="1464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单项选择题</w:t>
            </w:r>
          </w:p>
        </w:tc>
        <w:tc>
          <w:tcPr>
            <w:tcW w:w="124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填空题</w:t>
            </w:r>
          </w:p>
        </w:tc>
        <w:tc>
          <w:tcPr>
            <w:tcW w:w="1084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判断题</w:t>
            </w:r>
          </w:p>
        </w:tc>
        <w:tc>
          <w:tcPr>
            <w:tcW w:w="1362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简答题</w:t>
            </w:r>
          </w:p>
        </w:tc>
        <w:tc>
          <w:tcPr>
            <w:tcW w:w="1280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论述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9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1464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  <w:tc>
          <w:tcPr>
            <w:tcW w:w="124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  <w:tc>
          <w:tcPr>
            <w:tcW w:w="1084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10%</w:t>
            </w:r>
          </w:p>
        </w:tc>
        <w:tc>
          <w:tcPr>
            <w:tcW w:w="1362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30%</w:t>
            </w:r>
          </w:p>
        </w:tc>
        <w:tc>
          <w:tcPr>
            <w:tcW w:w="1280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</w:tbl>
    <w:p>
      <w:pPr>
        <w:widowControl/>
        <w:shd w:val="clear" w:color="auto" w:fill="FFFFFF"/>
        <w:spacing w:line="560" w:lineRule="atLeast"/>
        <w:ind w:left="359" w:leftChars="171" w:firstLine="960" w:firstLineChars="400"/>
        <w:jc w:val="center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        </w:t>
      </w:r>
    </w:p>
    <w:p>
      <w:pPr>
        <w:widowControl/>
        <w:shd w:val="clear" w:color="auto" w:fill="FFFFFF"/>
        <w:spacing w:line="560" w:lineRule="atLeast"/>
        <w:rPr>
          <w:rFonts w:ascii="仿宋" w:hAnsi="仿宋" w:eastAsia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三、考试内容及考试要求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 绪论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（1）法学的含义；法学的研究对象。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（2）中国法学的历史；西方法学的历史。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（3）法理学的含义；法理学的研究对象；法理学在法学体系中的地位；法理学的研究方法；研究法理学的意义。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（4）马克思主义法学的特征；坚持用马克思主义的立场观点方法研究法学。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（1）识记:法学的含义；法理学的含义；法学产生的条件；法学的历史发展；马克思主义法学的特征。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（2）掌握:法理学的研究对象；坚持用马克思主义的立场观点方法研究法学。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 法、法律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（1）法的词源（“法”的词义；当代中国关于“法”与“法律”的使用。）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（2）法的本质（马克思主义法学关于法的本质的论述；法的阶级本质；法律所体现的意志由一定的物质生活条件所决定）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（3）法的基本特征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（1）识记：法的词源。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（2）掌握：法的本质；法的基本特征。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（三）法的渊源、分类和效力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</w:t>
      </w:r>
      <w:r>
        <w:rPr>
          <w:rFonts w:ascii="仿宋" w:hAnsi="仿宋" w:eastAsia="仿宋" w:cs="仿宋"/>
          <w:sz w:val="24"/>
          <w:szCs w:val="24"/>
        </w:rPr>
        <w:t>法的渊源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法的渊源的概念</w:t>
      </w:r>
      <w:r>
        <w:rPr>
          <w:rFonts w:hint="eastAsia" w:ascii="仿宋" w:hAnsi="仿宋" w:eastAsia="仿宋" w:cs="仿宋"/>
          <w:sz w:val="24"/>
          <w:szCs w:val="24"/>
        </w:rPr>
        <w:t>；</w:t>
      </w:r>
      <w:r>
        <w:rPr>
          <w:rFonts w:ascii="仿宋" w:hAnsi="仿宋" w:eastAsia="仿宋" w:cs="仿宋"/>
          <w:sz w:val="24"/>
          <w:szCs w:val="24"/>
        </w:rPr>
        <w:t>法的渊源的分类</w:t>
      </w:r>
      <w:r>
        <w:rPr>
          <w:rFonts w:hint="eastAsia" w:ascii="仿宋" w:hAnsi="仿宋" w:eastAsia="仿宋" w:cs="仿宋"/>
          <w:sz w:val="24"/>
          <w:szCs w:val="24"/>
        </w:rPr>
        <w:t>；</w:t>
      </w:r>
      <w:r>
        <w:rPr>
          <w:rFonts w:ascii="仿宋" w:hAnsi="仿宋" w:eastAsia="仿宋" w:cs="仿宋"/>
          <w:sz w:val="24"/>
          <w:szCs w:val="24"/>
        </w:rPr>
        <w:t>当代中国法的渊源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</w:t>
      </w:r>
      <w:r>
        <w:rPr>
          <w:rFonts w:ascii="仿宋" w:hAnsi="仿宋" w:eastAsia="仿宋" w:cs="仿宋"/>
          <w:sz w:val="24"/>
          <w:szCs w:val="24"/>
        </w:rPr>
        <w:t>法的分类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成文法与不成文法；实体法与程序法；根本法与普通法；一般法与特别法；国内法与国际法</w:t>
      </w:r>
      <w:r>
        <w:rPr>
          <w:rFonts w:hint="eastAsia" w:ascii="仿宋" w:hAnsi="仿宋" w:eastAsia="仿宋" w:cs="仿宋"/>
          <w:sz w:val="24"/>
          <w:szCs w:val="24"/>
        </w:rPr>
        <w:t>；公法和私法）。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</w:t>
      </w:r>
      <w:r>
        <w:rPr>
          <w:rFonts w:ascii="仿宋" w:hAnsi="仿宋" w:eastAsia="仿宋" w:cs="仿宋"/>
          <w:sz w:val="24"/>
          <w:szCs w:val="24"/>
        </w:rPr>
        <w:t>法的效力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法的效力的</w:t>
      </w:r>
      <w:r>
        <w:rPr>
          <w:rFonts w:hint="eastAsia" w:ascii="仿宋" w:hAnsi="仿宋" w:eastAsia="仿宋" w:cs="仿宋"/>
          <w:sz w:val="24"/>
          <w:szCs w:val="24"/>
        </w:rPr>
        <w:t>概念</w:t>
      </w:r>
      <w:r>
        <w:rPr>
          <w:rFonts w:ascii="仿宋" w:hAnsi="仿宋" w:eastAsia="仿宋" w:cs="仿宋"/>
          <w:sz w:val="24"/>
          <w:szCs w:val="24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法的效力与法的实效；法的效力范围；法的效力冲突及其处理原则）。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</w:t>
      </w:r>
      <w:r>
        <w:rPr>
          <w:rFonts w:ascii="仿宋" w:hAnsi="仿宋" w:eastAsia="仿宋" w:cs="仿宋"/>
          <w:sz w:val="24"/>
          <w:szCs w:val="24"/>
        </w:rPr>
        <w:t>法的渊源的概念</w:t>
      </w:r>
      <w:r>
        <w:rPr>
          <w:rFonts w:hint="eastAsia" w:ascii="仿宋" w:hAnsi="仿宋" w:eastAsia="仿宋" w:cs="仿宋"/>
          <w:sz w:val="24"/>
          <w:szCs w:val="24"/>
        </w:rPr>
        <w:t>；成文法与不成文法；实体法与程序法；根本法与普通法；一般法与特别法；国内法与国际法；公法和私法。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</w:t>
      </w:r>
      <w:r>
        <w:rPr>
          <w:rFonts w:ascii="仿宋" w:hAnsi="仿宋" w:eastAsia="仿宋" w:cs="仿宋"/>
          <w:sz w:val="24"/>
          <w:szCs w:val="24"/>
        </w:rPr>
        <w:t>法的渊源的分类</w:t>
      </w:r>
      <w:r>
        <w:rPr>
          <w:rFonts w:hint="eastAsia" w:ascii="仿宋" w:hAnsi="仿宋" w:eastAsia="仿宋" w:cs="仿宋"/>
          <w:sz w:val="24"/>
          <w:szCs w:val="24"/>
        </w:rPr>
        <w:t>；</w:t>
      </w:r>
      <w:r>
        <w:rPr>
          <w:rFonts w:ascii="仿宋" w:hAnsi="仿宋" w:eastAsia="仿宋" w:cs="仿宋"/>
          <w:sz w:val="24"/>
          <w:szCs w:val="24"/>
        </w:rPr>
        <w:t>当代中国法的渊源</w:t>
      </w:r>
      <w:r>
        <w:rPr>
          <w:rFonts w:hint="eastAsia" w:ascii="仿宋" w:hAnsi="仿宋" w:eastAsia="仿宋" w:cs="仿宋"/>
          <w:sz w:val="24"/>
          <w:szCs w:val="24"/>
        </w:rPr>
        <w:t>；法的效力与法的实效；法的效力冲突及其处理原则。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（四）法律体系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（1）法律体系的概念与特点。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（2）法律部门及其划分标准（法律部门的概念；法律部门的划分标准；法律部门的划分原则）。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（3）中国特色社会主义法律体系（宪法及其相关法；行政法、民商法、经济法、社会法、刑法；程序法）。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（1）识记：法律体系的概念与特点；法律部门的概念；法律部门的划分标准。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（2）掌握：中国特色社会主义法律体系（宪法及其相关法；行政法、民商法、经济法、社会法、刑法；程序法）。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（五）法的要素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（1）法的要素的概念及分类。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（2）法律概念的含义；法律概念的种类。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（3）法律规则的含义和特点；法律规则的分类。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（4）法律原则的概念；法律原则的分类；法律原则与法律规则的区别；法律原则的适用。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（1）识记：法的要素的概念及分类；法律概念的含义；法律概念的种类；法律规则的含义和特点；法律规则的分类；法律原则的概念；法律原则的分类。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（2）综合应用：法律原则与法律规则的区别；法律原则的适用。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（六）法律关系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（1）法律关系的概念及其分类。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（2）法律关系的主体（法律关系主体的种类；法律关系主体的资格）。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（3）法律关系的客体（法律关系客体的概念和特征；法律关系客体的种类）。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（4）法律关系的形成、变更与消灭（法律关系产生、变更与消灭的条件；法律事实的种类）。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（1）识记：法律关系的概念及其分类；法律关系主体的种类；法律关系主体的资格；法律关系客体的概念和特征；法律关系客体的种类；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（2）简单应用：法律关系产生、变更与消灭的条件；法律事实的种类。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（七）法律责任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（1）法律责任的概念；法律责任的构成；法律责任的种类。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（2）法律责任原则的概念及其种类。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（3）法律责任的认定与归结的含义及其原则。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（4）法律责任的承担方式；法律责任的减轻与免除。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（1）识记：法律责任的概念；法律责任的构成；法律责任的种类；法律责任原则的概念及其种类；法律责任的认定与归结的含义。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（2）综合应用：法律责任的认定与归结的原则；法律责任的承担方式；法律责任的减轻与免除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（八）法的制定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（1）立法的概念；立法的特征。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（2）立法权的概念；立法体制的概念；立法原则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（3）依法立法（依法立法原则的意义；依法立法原则的基本内涵和要求）。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（4）科学立法（科学立法原则的意义；科学立法原则的基本内涵和要求）。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（5）民主立法（民主立法原则的意义；民主立法原则的基本内涵和要求）。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（6）比较立法（比较立法原则的意义；比较立法原则的基本内涵和要求）。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（1）识记：立法的概念；立法的特征；立法权的概念；立法体制的概念；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（2）掌握：我国现行的立法体制，《立法法》的主要修改内容和意义。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（3）综合应用：依法立法、科学立法、民主立法、比较立法的意义及其基本内涵和要求。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（九）法的实施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（1）法律实施的含义；法律实施的内容与分类；法律实施的意义；法律实施状况的评价。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（2）全面实施宪法的意义；全面实施宪法的首要任务。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（3）执法的概念；执法的原则；严格规范公正文明执法。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（4）司法的概念；司法的原则。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（5）守法的概念；守法的概念；守法的根据和理由；守法的条件；守法的原则。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（1）识记：法律实施的含义；法律实施的内容与分类；执法的概念；司法的概念；守法的概念；守法的根据和理由；守法的条件。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（2）综合应用：法律实施的意义；法律实施状况的评价；全面实施宪法的意义；全面实施宪法的首要任务；执法的原则；严格规范公正文明执法；司法的原则；守法的原则。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（十）法律职业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（1）法律职业的概念与特征；当代中国的法治职业共同体。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（2）法律职业制度（法律职业资格考试制度；法律职业教育培训制度；法律职业保障制度）。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（3）法律职业伦理与法律职业思维（法律职业伦理的概念与特点；法律职业伦理的主要内容；法律职业思维）。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（1）识记：法律职业的概念与特征；法律职业资格考试制度；法律职业教育培训制度；法律职业保障制度；法律职业伦理的概念与特点；法律职业伦理的主要内容。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（2）简单应用：当代中国的法治职业共同体；法律职业思维。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（十一）法律方法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（1）法律方法的基本特征。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（2）法律发现的概念、特点及途径。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（3）法律解释的概念；法律解释的必要性；法律解释的原则；法律解释的方法。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（4）法律推理的概念；法律推理的方式；辩证推理；权利推理；法律论证的概念及其方法。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（1）识记：法律方法的基本特征；法律发现的概念、特点及途径；法律解释的概念；法律解释的必要性法律推理的概念；法律论证的概念。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（2）掌握：法律解释的原则；法律解释的方法；法律推理的方式；辩证推理；权利推理；法律论证的方法。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（3）综合应用：法律推理的方式；法律论证的方法。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（十二）法的价值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（1）法的价值的概念。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（2）法的基本价值（法与秩序；法与自由；法与效率；法与正义。）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（3）法的价值的冲突与整合。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（4）社会主义法治的核心价值。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（1）识记：法的价值的概念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（2）掌握：法的基本价值（法与秩序；法与自由；法与效率；法与正义）；社会主义法治的核心价值。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（3）综合应用：法的价值的冲突与整合。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（十三）法治原理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1、考核知识点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（1）法治的概念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（2）法治与法制；法治与人治；法治与民主。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（3）法治的基本原则（法律至上原则；权利保障原则；权力制约原则；正当程序原则）。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（4）建设中国特色社会主义法治体系（完备良善的法律规范体系；公正高效的法治实施体系；科学严密的法治监督体系；充分有力的法治保障体系；完善的党内法规体系）。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（5）全面推进法治中国建设（“法治中国”的概念；法治中国建设的总体要求）。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2、考核要求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（1）识记：法治的概念；“法治中国”的概念。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（2）掌握：法治的基本原则（法律至上原则；权利保障原则；权力制约原则；正当程序原则）。</w:t>
      </w:r>
    </w:p>
    <w:p>
      <w:pPr>
        <w:spacing w:line="560" w:lineRule="atLeas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综合应用：法治与法制；法治与人治；法治与民主；建设中国特色社会主义法治体系（完备良善的法律规范体系；公正高效的法治实施体系；科学严密的法治监督体系；充分有力的法治保障体系；完善的党内法规体系）；法治中国建设的总体要求。</w:t>
      </w:r>
    </w:p>
    <w:p>
      <w:pPr>
        <w:widowControl/>
        <w:shd w:val="clear" w:color="auto" w:fill="FFFFFF"/>
        <w:spacing w:line="560" w:lineRule="atLeast"/>
        <w:rPr>
          <w:rFonts w:ascii="仿宋" w:hAnsi="仿宋" w:eastAsia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四、其他说明</w:t>
      </w:r>
    </w:p>
    <w:p>
      <w:pPr>
        <w:spacing w:line="560" w:lineRule="atLeast"/>
        <w:ind w:left="42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携带黑色水性笔和2B铅笔参加考试。</w:t>
      </w:r>
    </w:p>
    <w:p>
      <w:pPr>
        <w:widowControl/>
        <w:numPr>
          <w:ilvl w:val="0"/>
          <w:numId w:val="3"/>
        </w:numPr>
        <w:shd w:val="clear" w:color="auto" w:fill="FFFFFF"/>
        <w:spacing w:line="560" w:lineRule="atLeast"/>
        <w:rPr>
          <w:rFonts w:ascii="仿宋" w:hAnsi="仿宋" w:eastAsia="仿宋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参考书目</w:t>
      </w:r>
    </w:p>
    <w:p>
      <w:pPr>
        <w:numPr>
          <w:numId w:val="0"/>
        </w:numPr>
        <w:tabs>
          <w:tab w:val="left" w:pos="900"/>
        </w:tabs>
        <w:spacing w:line="560" w:lineRule="atLeast"/>
        <w:ind w:left="630" w:leftChars="0"/>
        <w:rPr>
          <w:rFonts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张文显.《法理学（第五版）》，北京：高等教育出版社（北京大学出版社），2020年1月.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姚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615021"/>
    <w:multiLevelType w:val="singleLevel"/>
    <w:tmpl w:val="AC61502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9049DB"/>
    <w:multiLevelType w:val="multilevel"/>
    <w:tmpl w:val="429049DB"/>
    <w:lvl w:ilvl="0" w:tentative="0">
      <w:start w:val="1"/>
      <w:numFmt w:val="japaneseCounting"/>
      <w:lvlText w:val="第%1章"/>
      <w:lvlJc w:val="left"/>
      <w:pPr>
        <w:tabs>
          <w:tab w:val="left" w:pos="1275"/>
        </w:tabs>
        <w:ind w:left="1275" w:hanging="1275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japaneseCounting"/>
      <w:lvlText w:val="第%3节"/>
      <w:lvlJc w:val="left"/>
      <w:pPr>
        <w:tabs>
          <w:tab w:val="left" w:pos="1830"/>
        </w:tabs>
        <w:ind w:left="1830" w:hanging="990"/>
      </w:pPr>
      <w:rPr>
        <w:rFonts w:hint="eastAsia"/>
      </w:rPr>
    </w:lvl>
    <w:lvl w:ilvl="3" w:tentative="0">
      <w:start w:val="1"/>
      <w:numFmt w:val="decimal"/>
      <w:pStyle w:val="8"/>
      <w:lvlText w:val="%4、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2040"/>
        </w:tabs>
        <w:ind w:left="2040" w:hanging="36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、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decimal"/>
      <w:lvlText w:val="%9)"/>
      <w:lvlJc w:val="lef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2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8B6"/>
    <w:rsid w:val="00075312"/>
    <w:rsid w:val="00082DBE"/>
    <w:rsid w:val="000C6EAE"/>
    <w:rsid w:val="000D0C6F"/>
    <w:rsid w:val="000D6F9B"/>
    <w:rsid w:val="000E172D"/>
    <w:rsid w:val="001140E3"/>
    <w:rsid w:val="00133305"/>
    <w:rsid w:val="00175746"/>
    <w:rsid w:val="001A3743"/>
    <w:rsid w:val="001A6A51"/>
    <w:rsid w:val="001B6FC5"/>
    <w:rsid w:val="001F7B4F"/>
    <w:rsid w:val="00206940"/>
    <w:rsid w:val="00223CB2"/>
    <w:rsid w:val="00280BEF"/>
    <w:rsid w:val="002B6E7E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A45B0"/>
    <w:rsid w:val="004B77B3"/>
    <w:rsid w:val="004E74D4"/>
    <w:rsid w:val="004F1957"/>
    <w:rsid w:val="00520C02"/>
    <w:rsid w:val="0052316C"/>
    <w:rsid w:val="0054387B"/>
    <w:rsid w:val="00553B64"/>
    <w:rsid w:val="005779CF"/>
    <w:rsid w:val="00590BF0"/>
    <w:rsid w:val="005A3355"/>
    <w:rsid w:val="005B7532"/>
    <w:rsid w:val="00654E13"/>
    <w:rsid w:val="00660DDF"/>
    <w:rsid w:val="006E4184"/>
    <w:rsid w:val="00705155"/>
    <w:rsid w:val="007565E8"/>
    <w:rsid w:val="0076776E"/>
    <w:rsid w:val="007A24B5"/>
    <w:rsid w:val="007B2ECA"/>
    <w:rsid w:val="007D1F6B"/>
    <w:rsid w:val="007E536B"/>
    <w:rsid w:val="008133C0"/>
    <w:rsid w:val="008731F6"/>
    <w:rsid w:val="008A3643"/>
    <w:rsid w:val="008C4E0E"/>
    <w:rsid w:val="009066F5"/>
    <w:rsid w:val="00937B51"/>
    <w:rsid w:val="009428B6"/>
    <w:rsid w:val="0097325A"/>
    <w:rsid w:val="009837D9"/>
    <w:rsid w:val="009F34F2"/>
    <w:rsid w:val="009F3E06"/>
    <w:rsid w:val="00A01F98"/>
    <w:rsid w:val="00A50576"/>
    <w:rsid w:val="00B01A80"/>
    <w:rsid w:val="00B14C7F"/>
    <w:rsid w:val="00B14FF2"/>
    <w:rsid w:val="00BA25F9"/>
    <w:rsid w:val="00BA51FC"/>
    <w:rsid w:val="00BD1D25"/>
    <w:rsid w:val="00BE2373"/>
    <w:rsid w:val="00C00371"/>
    <w:rsid w:val="00C71371"/>
    <w:rsid w:val="00C94900"/>
    <w:rsid w:val="00CA1725"/>
    <w:rsid w:val="00CB239C"/>
    <w:rsid w:val="00CC29BD"/>
    <w:rsid w:val="00CC2CAB"/>
    <w:rsid w:val="00D16A70"/>
    <w:rsid w:val="00D21E9F"/>
    <w:rsid w:val="00D550E4"/>
    <w:rsid w:val="00D7161F"/>
    <w:rsid w:val="00D71D88"/>
    <w:rsid w:val="00D861AC"/>
    <w:rsid w:val="00E018E0"/>
    <w:rsid w:val="00E21D60"/>
    <w:rsid w:val="00E347D4"/>
    <w:rsid w:val="00E34DE4"/>
    <w:rsid w:val="00E56C3F"/>
    <w:rsid w:val="00E664DA"/>
    <w:rsid w:val="00EC10EE"/>
    <w:rsid w:val="00ED4822"/>
    <w:rsid w:val="00EE0E6C"/>
    <w:rsid w:val="00F0083C"/>
    <w:rsid w:val="00F1267B"/>
    <w:rsid w:val="00FB60D4"/>
    <w:rsid w:val="00FC65A4"/>
    <w:rsid w:val="00FE6BF6"/>
    <w:rsid w:val="00FE7709"/>
    <w:rsid w:val="018165E7"/>
    <w:rsid w:val="02A943BB"/>
    <w:rsid w:val="042E58B8"/>
    <w:rsid w:val="07D417A4"/>
    <w:rsid w:val="0DC25BC9"/>
    <w:rsid w:val="0DF235DC"/>
    <w:rsid w:val="0F5526A6"/>
    <w:rsid w:val="134A48E7"/>
    <w:rsid w:val="134D6BFF"/>
    <w:rsid w:val="193E0168"/>
    <w:rsid w:val="1BA309B2"/>
    <w:rsid w:val="1ED17489"/>
    <w:rsid w:val="22A72483"/>
    <w:rsid w:val="27BE56B4"/>
    <w:rsid w:val="28787C7F"/>
    <w:rsid w:val="29862F21"/>
    <w:rsid w:val="2AB271C0"/>
    <w:rsid w:val="2E905BEA"/>
    <w:rsid w:val="32D32291"/>
    <w:rsid w:val="372B0BBF"/>
    <w:rsid w:val="40C125E4"/>
    <w:rsid w:val="426E26DA"/>
    <w:rsid w:val="4468583B"/>
    <w:rsid w:val="44F427F8"/>
    <w:rsid w:val="45277013"/>
    <w:rsid w:val="4D724FDB"/>
    <w:rsid w:val="4D983E17"/>
    <w:rsid w:val="4E3E31DA"/>
    <w:rsid w:val="4F2D17E0"/>
    <w:rsid w:val="4FC66C67"/>
    <w:rsid w:val="4FD26D4D"/>
    <w:rsid w:val="545F7DC2"/>
    <w:rsid w:val="569C100D"/>
    <w:rsid w:val="58535EBD"/>
    <w:rsid w:val="59693730"/>
    <w:rsid w:val="5D534328"/>
    <w:rsid w:val="65225776"/>
    <w:rsid w:val="65D41454"/>
    <w:rsid w:val="68151EB7"/>
    <w:rsid w:val="69CB244A"/>
    <w:rsid w:val="706B3B0D"/>
    <w:rsid w:val="74D157AE"/>
    <w:rsid w:val="7628614D"/>
    <w:rsid w:val="7F23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 w:locked="1"/>
    <w:lsdException w:qFormat="1" w:unhideWhenUsed="0" w:uiPriority="39" w:semiHidden="0" w:name="toc 2" w:locked="1"/>
    <w:lsdException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locked/>
    <w:uiPriority w:val="39"/>
    <w:pPr>
      <w:widowControl/>
      <w:spacing w:after="100" w:line="259" w:lineRule="auto"/>
      <w:ind w:left="440"/>
      <w:jc w:val="left"/>
    </w:pPr>
    <w:rPr>
      <w:rFonts w:ascii="等线" w:hAnsi="等线" w:eastAsia="等线"/>
      <w:kern w:val="0"/>
      <w:sz w:val="22"/>
      <w:szCs w:val="22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locked/>
    <w:uiPriority w:val="39"/>
  </w:style>
  <w:style w:type="paragraph" w:styleId="7">
    <w:name w:val="Body Text Indent 3"/>
    <w:basedOn w:val="1"/>
    <w:link w:val="18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8">
    <w:name w:val="toc 2"/>
    <w:basedOn w:val="1"/>
    <w:next w:val="1"/>
    <w:qFormat/>
    <w:locked/>
    <w:uiPriority w:val="39"/>
    <w:pPr>
      <w:numPr>
        <w:ilvl w:val="3"/>
        <w:numId w:val="1"/>
      </w:numPr>
      <w:tabs>
        <w:tab w:val="left" w:pos="540"/>
        <w:tab w:val="left" w:pos="900"/>
        <w:tab w:val="clear" w:pos="1980"/>
      </w:tabs>
      <w:ind w:left="540" w:firstLine="0"/>
    </w:pPr>
  </w:style>
  <w:style w:type="table" w:styleId="10">
    <w:name w:val="Table Grid"/>
    <w:basedOn w:val="9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qFormat/>
    <w:uiPriority w:val="99"/>
    <w:rPr>
      <w:color w:val="0000FF"/>
      <w:u w:val="single"/>
    </w:rPr>
  </w:style>
  <w:style w:type="character" w:customStyle="1" w:styleId="13">
    <w:name w:val="页眉 字符"/>
    <w:link w:val="5"/>
    <w:qFormat/>
    <w:locked/>
    <w:uiPriority w:val="99"/>
    <w:rPr>
      <w:kern w:val="2"/>
      <w:sz w:val="18"/>
      <w:szCs w:val="18"/>
    </w:rPr>
  </w:style>
  <w:style w:type="character" w:customStyle="1" w:styleId="14">
    <w:name w:val="页脚 字符"/>
    <w:link w:val="4"/>
    <w:qFormat/>
    <w:locked/>
    <w:uiPriority w:val="99"/>
    <w:rPr>
      <w:kern w:val="2"/>
      <w:sz w:val="18"/>
      <w:szCs w:val="18"/>
    </w:rPr>
  </w:style>
  <w:style w:type="character" w:customStyle="1" w:styleId="15">
    <w:name w:val="apple-converted-space"/>
    <w:basedOn w:val="11"/>
    <w:qFormat/>
    <w:uiPriority w:val="99"/>
  </w:style>
  <w:style w:type="paragraph" w:customStyle="1" w:styleId="16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正文文本缩进 3 字符"/>
    <w:link w:val="7"/>
    <w:qFormat/>
    <w:locked/>
    <w:uiPriority w:val="99"/>
    <w:rPr>
      <w:kern w:val="2"/>
      <w:sz w:val="16"/>
      <w:szCs w:val="16"/>
    </w:rPr>
  </w:style>
  <w:style w:type="paragraph" w:customStyle="1" w:styleId="19">
    <w:name w:val="TOC Heading"/>
    <w:basedOn w:val="2"/>
    <w:next w:val="1"/>
    <w:unhideWhenUsed/>
    <w:qFormat/>
    <w:uiPriority w:val="39"/>
    <w:pPr>
      <w:keepNext/>
      <w:keepLines/>
      <w:widowControl/>
      <w:spacing w:before="240" w:beforeAutospacing="0" w:afterAutospacing="0" w:line="259" w:lineRule="auto"/>
      <w:outlineLvl w:val="9"/>
    </w:pPr>
    <w:rPr>
      <w:rFonts w:hint="default" w:ascii="等线 Light" w:hAnsi="等线 Light" w:eastAsia="等线 Light"/>
      <w:b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90F7A-FAD0-4CBC-87D8-F97ACAE9A0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CSFU</Company>
  <Pages>8</Pages>
  <Words>571</Words>
  <Characters>3256</Characters>
  <Lines>27</Lines>
  <Paragraphs>7</Paragraphs>
  <TotalTime>0</TotalTime>
  <ScaleCrop>false</ScaleCrop>
  <LinksUpToDate>false</LinksUpToDate>
  <CharactersWithSpaces>3820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2018-04-04T00:30:00Z</dcterms:created>
  <dc:creator>马宗艳</dc:creator>
  <cp:lastModifiedBy>6</cp:lastModifiedBy>
  <cp:lastPrinted>2020-04-27T07:48:00Z</cp:lastPrinted>
  <dcterms:modified xsi:type="dcterms:W3CDTF">2021-03-08T03:32:19Z</dcterms:modified>
  <dc:title>中南林学院植物学教学大纲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BDDC637A8B1947CFAA49DC82305936A6</vt:lpwstr>
  </property>
</Properties>
</file>