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《经济学》考试大纲（专升本）</w:t>
      </w:r>
    </w:p>
    <w:p>
      <w:pPr>
        <w:spacing w:line="400" w:lineRule="exact"/>
        <w:rPr>
          <w:rFonts w:ascii="仿宋_GB2312" w:eastAsia="仿宋_GB2312"/>
          <w:sz w:val="24"/>
        </w:rPr>
      </w:pPr>
    </w:p>
    <w:p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仿宋_GB2312" w:eastAsia="仿宋_GB2312"/>
          <w:sz w:val="24"/>
        </w:rPr>
        <w:t>课程编码：</w:t>
      </w:r>
      <w:r>
        <w:rPr>
          <w:rFonts w:hint="eastAsia" w:ascii="Calibri" w:hAnsi="Calibri" w:eastAsia="仿宋_GB2312" w:cs="Calibri"/>
          <w:sz w:val="24"/>
          <w:lang w:val="en-US" w:eastAsia="zh-CN"/>
        </w:rPr>
        <w:t xml:space="preserve">       </w:t>
      </w:r>
      <w:r>
        <w:rPr>
          <w:rFonts w:hint="eastAsia" w:ascii="Calibri" w:hAnsi="Calibri" w:eastAsia="仿宋_GB2312" w:cs="Calibri"/>
          <w:sz w:val="24"/>
        </w:rPr>
        <w:t xml:space="preserve"> </w:t>
      </w:r>
      <w:r>
        <w:rPr>
          <w:rFonts w:hint="eastAsia" w:ascii="仿宋_GB2312" w:eastAsia="仿宋_GB2312"/>
          <w:sz w:val="24"/>
        </w:rPr>
        <w:t xml:space="preserve">                     学 分：4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课程名称：经济学                       学 时：64</w:t>
      </w:r>
    </w:p>
    <w:p>
      <w:pPr>
        <w:spacing w:line="400" w:lineRule="exact"/>
        <w:rPr>
          <w:rFonts w:hint="default" w:ascii="仿宋_GB2312" w:eastAsia="仿宋_GB2312"/>
          <w:sz w:val="24"/>
          <w:lang w:val="en-US" w:eastAsia="zh-CN"/>
        </w:rPr>
      </w:pPr>
      <w:r>
        <w:rPr>
          <w:rFonts w:hint="eastAsia" w:ascii="仿宋_GB2312" w:eastAsia="仿宋_GB2312"/>
          <w:sz w:val="24"/>
        </w:rPr>
        <w:t>适用专业：国际经济与贸易</w:t>
      </w:r>
      <w:r>
        <w:rPr>
          <w:rFonts w:hint="eastAsia" w:ascii="仿宋_GB2312" w:eastAsia="仿宋_GB2312"/>
          <w:sz w:val="24"/>
          <w:lang w:eastAsia="zh-CN"/>
        </w:rPr>
        <w:t>、</w:t>
      </w:r>
      <w:r>
        <w:rPr>
          <w:rFonts w:hint="eastAsia" w:ascii="仿宋_GB2312" w:eastAsia="仿宋_GB2312"/>
          <w:sz w:val="24"/>
          <w:lang w:val="en-US" w:eastAsia="zh-CN"/>
        </w:rPr>
        <w:t>国际商务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采用教材：</w:t>
      </w:r>
      <w:r>
        <w:rPr>
          <w:rFonts w:ascii="仿宋_GB2312" w:eastAsia="仿宋_GB2312"/>
          <w:sz w:val="24"/>
        </w:rPr>
        <w:t>《西方经济学简明教程》(第六版)，尹伯成主编，上海人民出版社。</w:t>
      </w:r>
    </w:p>
    <w:p>
      <w:pPr>
        <w:spacing w:line="400" w:lineRule="exact"/>
        <w:rPr>
          <w:rFonts w:ascii="Calibri" w:hAnsi="Calibri" w:eastAsia="仿宋_GB2312" w:cs="Calibri"/>
          <w:sz w:val="24"/>
        </w:rPr>
      </w:pPr>
      <w:r>
        <w:rPr>
          <w:rFonts w:hint="eastAsia" w:ascii="仿宋_GB2312" w:eastAsia="仿宋_GB2312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       </w:t>
      </w:r>
      <w:r>
        <w:rPr>
          <w:rFonts w:ascii="Calibri" w:hAnsi="Calibri" w:eastAsia="仿宋_GB2312" w:cs="Calibri"/>
          <w:sz w:val="24"/>
        </w:rPr>
        <w:t>S/N:9787543214958</w:t>
      </w:r>
    </w:p>
    <w:p>
      <w:pPr>
        <w:spacing w:line="400" w:lineRule="exact"/>
        <w:ind w:left="1440" w:hanging="1440" w:hangingChars="6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其他参考书目：</w:t>
      </w:r>
      <w:r>
        <w:rPr>
          <w:rFonts w:ascii="仿宋_GB2312" w:eastAsia="仿宋_GB2312"/>
          <w:sz w:val="24"/>
        </w:rPr>
        <w:t>《西方经济学》(宏观部分,微观部分)，高鸿业主编</w:t>
      </w:r>
      <w:r>
        <w:rPr>
          <w:rFonts w:hint="eastAsia" w:ascii="仿宋_GB2312" w:eastAsia="仿宋_GB2312"/>
          <w:sz w:val="24"/>
        </w:rPr>
        <w:t>，</w:t>
      </w:r>
      <w:r>
        <w:rPr>
          <w:rFonts w:ascii="仿宋_GB2312" w:eastAsia="仿宋_GB2312"/>
          <w:sz w:val="24"/>
        </w:rPr>
        <w:t>中国人民大</w:t>
      </w:r>
    </w:p>
    <w:p>
      <w:pPr>
        <w:spacing w:line="400" w:lineRule="exact"/>
        <w:ind w:firstLine="1200" w:firstLineChars="50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学出版社。</w:t>
      </w:r>
    </w:p>
    <w:p>
      <w:pPr>
        <w:spacing w:line="400" w:lineRule="exac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一、考试的基本要求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《经济学》</w:t>
      </w:r>
      <w:r>
        <w:rPr>
          <w:rFonts w:hint="eastAsia" w:ascii="仿宋_GB2312" w:eastAsia="仿宋_GB2312"/>
          <w:sz w:val="24"/>
        </w:rPr>
        <w:t>考试范围包括充分理解和掌握经济学的</w:t>
      </w:r>
      <w:r>
        <w:rPr>
          <w:rFonts w:ascii="仿宋_GB2312" w:eastAsia="仿宋_GB2312"/>
          <w:sz w:val="24"/>
        </w:rPr>
        <w:t>基本概念、基本原理以及基本应用能力</w:t>
      </w:r>
      <w:r>
        <w:rPr>
          <w:rFonts w:hint="eastAsia" w:ascii="仿宋_GB2312" w:eastAsia="仿宋_GB2312"/>
          <w:sz w:val="24"/>
        </w:rPr>
        <w:t>。特别是</w:t>
      </w:r>
      <w:r>
        <w:rPr>
          <w:rFonts w:ascii="仿宋_GB2312" w:eastAsia="仿宋_GB2312"/>
          <w:sz w:val="24"/>
        </w:rPr>
        <w:t>运用基本原理、基本方法</w:t>
      </w:r>
      <w:r>
        <w:rPr>
          <w:rFonts w:hint="eastAsia" w:ascii="仿宋_GB2312" w:eastAsia="仿宋_GB2312"/>
          <w:sz w:val="24"/>
        </w:rPr>
        <w:t>进行问题分析、科学计算、解决问题的能力。</w:t>
      </w:r>
      <w:r>
        <w:rPr>
          <w:rFonts w:ascii="仿宋_GB2312" w:eastAsia="仿宋_GB2312"/>
          <w:sz w:val="24"/>
        </w:rPr>
        <w:t> </w:t>
      </w:r>
    </w:p>
    <w:p>
      <w:pPr>
        <w:spacing w:line="400" w:lineRule="exact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二、考试方法、时间、题型大致比例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1.考核方式：考试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2.考试时间：</w:t>
      </w:r>
      <w:r>
        <w:rPr>
          <w:rFonts w:hint="eastAsia" w:ascii="仿宋_GB2312" w:eastAsia="仿宋_GB2312"/>
          <w:sz w:val="24"/>
          <w:lang w:val="en-US" w:eastAsia="zh-CN"/>
        </w:rPr>
        <w:t>100</w:t>
      </w:r>
      <w:r>
        <w:rPr>
          <w:rFonts w:hint="eastAsia" w:ascii="仿宋_GB2312" w:eastAsia="仿宋_GB2312"/>
          <w:sz w:val="24"/>
        </w:rPr>
        <w:t>分钟</w:t>
      </w:r>
    </w:p>
    <w:p>
      <w:pPr>
        <w:spacing w:line="40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eastAsia="仿宋_GB2312"/>
          <w:sz w:val="24"/>
        </w:rPr>
        <w:t>3</w:t>
      </w:r>
      <w:r>
        <w:rPr>
          <w:rFonts w:hint="eastAsia" w:ascii="仿宋_GB2312" w:hAnsi="仿宋_GB2312" w:eastAsia="仿宋_GB2312" w:cs="仿宋_GB2312"/>
          <w:sz w:val="24"/>
        </w:rPr>
        <w:t>.题型大致比例</w:t>
      </w:r>
      <w:bookmarkStart w:id="0" w:name="_GoBack"/>
      <w:bookmarkEnd w:id="0"/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单项选择：30%；    名词解释：12%；   简答题：20%；     计算题：20%  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综合分析题：18%   </w:t>
      </w:r>
    </w:p>
    <w:p>
      <w:pPr>
        <w:spacing w:line="400" w:lineRule="exact"/>
        <w:rPr>
          <w:rStyle w:val="7"/>
          <w:rFonts w:ascii="黑体" w:eastAsia="黑体"/>
          <w:bCs w:val="0"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三、考试内容及考试要求</w:t>
      </w:r>
    </w:p>
    <w:p>
      <w:pPr>
        <w:spacing w:line="400" w:lineRule="exact"/>
        <w:ind w:firstLine="2665" w:firstLineChars="1106"/>
        <w:rPr>
          <w:rStyle w:val="7"/>
          <w:rFonts w:ascii="仿宋_GB2312" w:hAnsi="宋体" w:eastAsia="仿宋_GB2312"/>
          <w:sz w:val="24"/>
        </w:rPr>
      </w:pPr>
      <w:r>
        <w:rPr>
          <w:rStyle w:val="7"/>
          <w:rFonts w:ascii="仿宋_GB2312" w:hAnsi="宋体" w:eastAsia="仿宋_GB2312"/>
          <w:sz w:val="24"/>
        </w:rPr>
        <w:t>　　微观经济学部分</w:t>
      </w:r>
    </w:p>
    <w:p>
      <w:pPr>
        <w:spacing w:line="400" w:lineRule="exact"/>
        <w:ind w:firstLine="2665" w:firstLineChars="1106"/>
        <w:rPr>
          <w:rStyle w:val="7"/>
          <w:rFonts w:ascii="仿宋_GB2312" w:hAnsi="宋体" w:eastAsia="仿宋_GB2312"/>
          <w:sz w:val="24"/>
        </w:rPr>
      </w:pPr>
      <w:r>
        <w:rPr>
          <w:rStyle w:val="7"/>
          <w:rFonts w:ascii="仿宋_GB2312" w:hAnsi="宋体" w:eastAsia="仿宋_GB2312"/>
          <w:sz w:val="24"/>
        </w:rPr>
        <w:t>　　</w:t>
      </w:r>
      <w:r>
        <w:rPr>
          <w:rStyle w:val="7"/>
          <w:rFonts w:hint="eastAsia" w:ascii="仿宋_GB2312" w:hAnsi="宋体" w:eastAsia="仿宋_GB2312"/>
          <w:sz w:val="24"/>
        </w:rPr>
        <w:t xml:space="preserve">第一章 </w:t>
      </w:r>
      <w:r>
        <w:rPr>
          <w:rStyle w:val="7"/>
          <w:rFonts w:ascii="仿宋_GB2312" w:hAnsi="宋体" w:eastAsia="仿宋_GB2312"/>
          <w:sz w:val="24"/>
        </w:rPr>
        <w:t>需求、供给与均衡价格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</w:t>
      </w:r>
      <w:r>
        <w:rPr>
          <w:rFonts w:ascii="仿宋_GB2312" w:hAnsi="宋体" w:eastAsia="仿宋_GB2312"/>
          <w:sz w:val="24"/>
        </w:rPr>
        <w:t>　1.需求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熟悉需求、需求表、需求曲线、需求函数的含义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掌握影响需求的因素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熟悉需求定理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掌握需求量的变动与需求的变动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2.供给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熟悉供给、供给表、供给曲线、供给函数的含义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掌握影响供给的因素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熟悉供给定理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掌握供给量的变动与供给的变动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 均衡价格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了解均衡价格的定义、形成，过剩与短缺的含义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掌握需求与供给变动对均衡价格的影响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熟悉供求定理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了解支持价格、限制价格的定义及其结果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熟悉政府税收对均衡价格的影响、税额由谁负担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4. 需求和供给的弹性理论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掌握需求价格弹性的定义和计算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熟悉需求价格弹性的分类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了解影响需求价格弹性的因素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掌握需求价格弹性与厂商总收益的关系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了解需求收入弹性定义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掌握正常商品与劣等品的判别依据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熟悉需求交叉弹性定义与计算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掌握互补品和替代品的判别依据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了解供给弹性定义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熟悉影响供给弹性的分类及其图形表示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7"/>
          <w:rFonts w:ascii="仿宋_GB2312" w:hAnsi="宋体" w:eastAsia="仿宋_GB2312"/>
          <w:sz w:val="24"/>
        </w:rPr>
      </w:pPr>
      <w:r>
        <w:rPr>
          <w:rStyle w:val="7"/>
          <w:rFonts w:ascii="仿宋_GB2312" w:hAnsi="宋体" w:eastAsia="仿宋_GB2312"/>
          <w:sz w:val="24"/>
        </w:rPr>
        <w:t>　　</w:t>
      </w:r>
      <w:r>
        <w:rPr>
          <w:rStyle w:val="7"/>
          <w:rFonts w:hint="eastAsia" w:ascii="仿宋_GB2312" w:hAnsi="宋体" w:eastAsia="仿宋_GB2312"/>
          <w:sz w:val="24"/>
        </w:rPr>
        <w:t xml:space="preserve">第二章 </w:t>
      </w:r>
      <w:r>
        <w:rPr>
          <w:rStyle w:val="7"/>
          <w:rFonts w:ascii="仿宋_GB2312" w:hAnsi="宋体" w:eastAsia="仿宋_GB2312"/>
          <w:sz w:val="24"/>
        </w:rPr>
        <w:t>消费者行为理论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　</w:t>
      </w:r>
      <w:r>
        <w:rPr>
          <w:rFonts w:ascii="仿宋_GB2312" w:hAnsi="宋体" w:eastAsia="仿宋_GB2312"/>
          <w:sz w:val="24"/>
        </w:rPr>
        <w:t>1. 基数效用论：边际效用分析法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熟悉总效用与边际效用的含义及其关系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熟悉边际效用递减规律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掌握消费者均衡条件，基数效用论对需求曲线的推导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 序数效用论：无差异曲线分析法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掌握无差异曲线的定义和特征(含边际替代率)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掌握预算线的定义及其移动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掌握消费者均衡条件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熟悉收入变动与消费者均衡：ICC曲线和恩格尔曲线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掌握价格变动与消费者均衡：PCC曲线，序数效用论对需求曲线的推导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熟悉正常商品、劣质品和吉芬商品的替代效应和价格效应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7"/>
          <w:rFonts w:ascii="仿宋_GB2312" w:hAnsi="宋体" w:eastAsia="仿宋_GB2312"/>
          <w:sz w:val="24"/>
        </w:rPr>
      </w:pPr>
      <w:r>
        <w:rPr>
          <w:rStyle w:val="7"/>
          <w:rFonts w:ascii="仿宋_GB2312" w:hAnsi="宋体" w:eastAsia="仿宋_GB2312"/>
          <w:sz w:val="24"/>
        </w:rPr>
        <w:t>　　</w:t>
      </w:r>
      <w:r>
        <w:rPr>
          <w:rStyle w:val="7"/>
          <w:rFonts w:hint="eastAsia" w:ascii="仿宋_GB2312" w:hAnsi="宋体" w:eastAsia="仿宋_GB2312"/>
          <w:sz w:val="24"/>
        </w:rPr>
        <w:t xml:space="preserve">第三章 </w:t>
      </w:r>
      <w:r>
        <w:rPr>
          <w:rStyle w:val="7"/>
          <w:rFonts w:ascii="仿宋_GB2312" w:hAnsi="宋体" w:eastAsia="仿宋_GB2312"/>
          <w:sz w:val="24"/>
        </w:rPr>
        <w:t>生产理论和成本理论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</w:t>
      </w:r>
      <w:r>
        <w:rPr>
          <w:rFonts w:ascii="仿宋_GB2312" w:hAnsi="宋体" w:eastAsia="仿宋_GB2312"/>
          <w:sz w:val="24"/>
        </w:rPr>
        <w:t>　1. 生产函数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掌握生产函数的定义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了解短期和长期的区别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 短期生产函数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掌握总产量、平均产量和边际产量的定义及其相互关系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熟悉生产要素报酬递减规律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掌握一种生产要素的最合适投入区域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 长期生产函数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掌握等产量曲线的定义和特征(含边际技术替代率)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熟悉等成本线的含义及移动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掌握生产要素的最适组合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4. 规模报酬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掌握规模报酬的含义、类型及其判别标准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了解规模经济和规模不经济的含义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5. 成本和成本函数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掌握机会成本、外显成本和隐含成本的定义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熟悉各种短期成本函数的定义及其计算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掌握各类短期成本的变动规律及其关系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了解成本曲线与短期产量曲线之间的关系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了解长期总成本和短期总成本的关系、长期平均成本和短期平均成本的关系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843" w:firstLineChars="350"/>
        <w:rPr>
          <w:rStyle w:val="7"/>
          <w:rFonts w:ascii="仿宋_GB2312" w:hAnsi="宋体" w:eastAsia="仿宋_GB2312"/>
          <w:sz w:val="24"/>
        </w:rPr>
      </w:pPr>
      <w:r>
        <w:rPr>
          <w:rStyle w:val="7"/>
          <w:rFonts w:hint="eastAsia" w:ascii="仿宋_GB2312" w:hAnsi="宋体" w:eastAsia="仿宋_GB2312"/>
          <w:sz w:val="24"/>
        </w:rPr>
        <w:t xml:space="preserve">第四章 </w:t>
      </w:r>
      <w:r>
        <w:rPr>
          <w:rStyle w:val="7"/>
          <w:rFonts w:ascii="仿宋_GB2312" w:hAnsi="宋体" w:eastAsia="仿宋_GB2312"/>
          <w:sz w:val="24"/>
        </w:rPr>
        <w:t>完全竞争市场和非完全竞争市场中价格和产量的决定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</w:t>
      </w:r>
      <w:r>
        <w:rPr>
          <w:rFonts w:ascii="仿宋_GB2312" w:hAnsi="宋体" w:eastAsia="仿宋_GB2312"/>
          <w:sz w:val="24"/>
        </w:rPr>
        <w:t>　1. 厂商行为概述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掌握四种市场结构的特征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了解厂商和行业的定义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熟悉总收益、平均收益与边际收益的定义及其相互关系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熟悉会计利润、经济利润和正常利润的定义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理解利润最大化原则(MR=MC)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 完全竞争市场上的价格和产量的决定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掌握完全竞争市场上的价格、需求曲线、平均收益与边际收益的特征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掌握完全竞争市场上的短期均衡条件，厂商的盈亏状况和决策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掌握完全竞争厂商的短期供给曲线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熟悉完全竞争市场上的长期均衡条件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了解完全竞争行业的长期供给曲线的类型和含义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 完全垄断市场上的价格和产量的决定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熟悉垄断的特点和条件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掌握垄断市场的需求曲线、平均收益与边际收益及其相互关系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掌握垄断市场价格和产量的决定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熟悉价格歧视的定义、实施条件和分类以及三级价格歧视的计算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4. 垄断竞争市场上的价格和产量的决定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了解垄断竞争市场的特点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5. 寡头市场上的价格和产量的决定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掌握寡头垄断市场的特征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熟悉斯威齐模型的前提和结论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7"/>
          <w:rFonts w:ascii="仿宋_GB2312" w:hAnsi="宋体" w:eastAsia="仿宋_GB2312"/>
          <w:sz w:val="24"/>
        </w:rPr>
      </w:pPr>
      <w:r>
        <w:rPr>
          <w:rStyle w:val="7"/>
          <w:rFonts w:ascii="仿宋_GB2312" w:hAnsi="宋体" w:eastAsia="仿宋_GB2312"/>
          <w:sz w:val="24"/>
        </w:rPr>
        <w:t>　　</w:t>
      </w:r>
      <w:r>
        <w:rPr>
          <w:rStyle w:val="7"/>
          <w:rFonts w:hint="eastAsia" w:ascii="仿宋_GB2312" w:hAnsi="宋体" w:eastAsia="仿宋_GB2312"/>
          <w:sz w:val="24"/>
        </w:rPr>
        <w:t xml:space="preserve">第五章 </w:t>
      </w:r>
      <w:r>
        <w:rPr>
          <w:rStyle w:val="7"/>
          <w:rFonts w:ascii="仿宋_GB2312" w:hAnsi="宋体" w:eastAsia="仿宋_GB2312"/>
          <w:sz w:val="24"/>
        </w:rPr>
        <w:t>要素价格与收入分配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　</w:t>
      </w:r>
      <w:r>
        <w:rPr>
          <w:rFonts w:ascii="仿宋_GB2312" w:hAnsi="宋体" w:eastAsia="仿宋_GB2312"/>
          <w:sz w:val="24"/>
        </w:rPr>
        <w:t>1. 生产要素的需求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了解生产要素的需求特点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掌握边际生产力的定义，MRP和VMP的含义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熟悉要素使用的利润最大化原则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 生产要素的供给和要素均衡价格决定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熟悉劳动市场的供给曲线图及解释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了解垂直的土地供给曲线与向右上方倾斜的土地供给曲线的含义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了解准地租和经济租金的含义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 贫富差别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掌握洛伦斯曲线与基尼系数的含义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了解平等与效率的关系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ind w:firstLine="2665" w:firstLineChars="1106"/>
        <w:rPr>
          <w:rStyle w:val="7"/>
          <w:rFonts w:ascii="仿宋_GB2312" w:hAnsi="宋体" w:eastAsia="仿宋_GB2312"/>
          <w:sz w:val="24"/>
        </w:rPr>
      </w:pPr>
      <w:r>
        <w:rPr>
          <w:rStyle w:val="7"/>
          <w:rFonts w:ascii="仿宋_GB2312" w:hAnsi="宋体" w:eastAsia="仿宋_GB2312"/>
          <w:sz w:val="24"/>
        </w:rPr>
        <w:t>　　</w:t>
      </w:r>
      <w:r>
        <w:rPr>
          <w:rStyle w:val="7"/>
          <w:rFonts w:hint="eastAsia" w:ascii="仿宋_GB2312" w:hAnsi="宋体" w:eastAsia="仿宋_GB2312"/>
          <w:sz w:val="24"/>
        </w:rPr>
        <w:t xml:space="preserve">第六章 </w:t>
      </w:r>
      <w:r>
        <w:rPr>
          <w:rStyle w:val="7"/>
          <w:rFonts w:ascii="仿宋_GB2312" w:hAnsi="宋体" w:eastAsia="仿宋_GB2312"/>
          <w:sz w:val="24"/>
        </w:rPr>
        <w:t>微观经济政策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　</w:t>
      </w:r>
      <w:r>
        <w:rPr>
          <w:rFonts w:ascii="仿宋_GB2312" w:hAnsi="宋体" w:eastAsia="仿宋_GB2312"/>
          <w:sz w:val="24"/>
        </w:rPr>
        <w:t>1. 市场失灵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了解市场失灵的含义及其原因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2.垄断与反垄断政策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了解政府对自然垄断的管制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 外部影响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熟悉外部影响、积极的外部影响和消极的外部影响的定义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掌握对付消极的外部影响的措施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4. 公共物品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掌握公共物品的含义及特点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了解公共物品的分类：纯公共物品、准公共物品、俱乐部商品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熟悉公共物品与市场失灵：“搭便车”和“公共地悲剧”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5. 信息不对称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了解信息不对称的含义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了解信息不对称与市场失灵：逆向选择和道德风险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jc w:val="center"/>
        <w:rPr>
          <w:rStyle w:val="7"/>
        </w:rPr>
      </w:pPr>
      <w:r>
        <w:rPr>
          <w:rStyle w:val="7"/>
        </w:rPr>
        <w:t>　　宏观经济学部分</w:t>
      </w:r>
    </w:p>
    <w:p>
      <w:pPr>
        <w:spacing w:line="400" w:lineRule="exact"/>
        <w:jc w:val="center"/>
        <w:rPr>
          <w:rStyle w:val="7"/>
        </w:rPr>
      </w:pPr>
      <w:r>
        <w:rPr>
          <w:rStyle w:val="7"/>
        </w:rPr>
        <w:t>　　</w:t>
      </w:r>
      <w:r>
        <w:rPr>
          <w:rStyle w:val="7"/>
          <w:rFonts w:hint="eastAsia"/>
        </w:rPr>
        <w:t xml:space="preserve">第七章 </w:t>
      </w:r>
      <w:r>
        <w:rPr>
          <w:rStyle w:val="7"/>
        </w:rPr>
        <w:t>国民收入核算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</w:t>
      </w:r>
      <w:r>
        <w:rPr>
          <w:rFonts w:ascii="仿宋_GB2312" w:hAnsi="宋体" w:eastAsia="仿宋_GB2312"/>
          <w:sz w:val="24"/>
        </w:rPr>
        <w:t>　1. 国内生产总值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掌握国内生产总值的含义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了解实际国内生产总值与名义国内生产总值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熟悉国民生产总值与国内生产总值的联系和区别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2.国民收入核算方法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熟悉收入法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掌握支出法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3.从GDP到DPI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熟悉GDP、 DP、 I、PI、DPI之间的关系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4. 国民收入核算中的恒等式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熟悉掌握两部门、三部门和四部门的国民收入核算中的恒等式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5.熟悉仅使用GDP衡量经济成果的缺陷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jc w:val="center"/>
        <w:rPr>
          <w:rStyle w:val="7"/>
        </w:rPr>
      </w:pPr>
      <w:r>
        <w:rPr>
          <w:rStyle w:val="7"/>
        </w:rPr>
        <w:t>　　</w:t>
      </w:r>
      <w:r>
        <w:rPr>
          <w:rStyle w:val="7"/>
          <w:rFonts w:hint="eastAsia"/>
        </w:rPr>
        <w:t xml:space="preserve">第八章 </w:t>
      </w:r>
      <w:r>
        <w:rPr>
          <w:rStyle w:val="7"/>
        </w:rPr>
        <w:t>国民收入的决定：收入-支出模型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　</w:t>
      </w:r>
      <w:r>
        <w:rPr>
          <w:rFonts w:ascii="仿宋_GB2312" w:hAnsi="宋体" w:eastAsia="仿宋_GB2312"/>
          <w:sz w:val="24"/>
        </w:rPr>
        <w:t>1. 概述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熟悉均衡收入的概念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 消费函数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掌握凯恩斯家庭消费函数和储蓄函数的含义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掌握消费函数和储蓄函数的关系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了解社会消费函数的含义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 两部门经济国民收入的决定和乘数原理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掌握两部门经济国民收入的决定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掌握两部门经济的乘数原理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了解潜在国民收入与缺口的含义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4. 三部门经济国民收入的决定和乘数原理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掌握三部门经济国民收入的决定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掌握三部门经济的乘数原理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jc w:val="center"/>
        <w:rPr>
          <w:rStyle w:val="7"/>
        </w:rPr>
      </w:pPr>
      <w:r>
        <w:rPr>
          <w:rStyle w:val="7"/>
        </w:rPr>
        <w:t>　　</w:t>
      </w:r>
      <w:r>
        <w:rPr>
          <w:rStyle w:val="7"/>
          <w:rFonts w:hint="eastAsia"/>
        </w:rPr>
        <w:t xml:space="preserve">第九章 </w:t>
      </w:r>
      <w:r>
        <w:rPr>
          <w:rStyle w:val="7"/>
        </w:rPr>
        <w:t>国民收入的决定：IS-LM模型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　</w:t>
      </w:r>
      <w:r>
        <w:rPr>
          <w:rFonts w:ascii="仿宋_GB2312" w:hAnsi="宋体" w:eastAsia="仿宋_GB2312"/>
          <w:sz w:val="24"/>
        </w:rPr>
        <w:t>1.投资函数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了解影响投资量的两个重要因素和投资函数的含义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 产品市场的均衡和IS曲线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掌握IS曲线的含义与推导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熟悉IS曲线的斜率及影响IS曲线的斜率的因素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熟悉IS曲线的移动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3.货币供给、货币需求和均衡利率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了解货币的计算口径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熟悉存款创造、货币乘数和货币供给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熟悉影响货币需求的因素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掌握凯恩斯货币需求函数，流动偏好陷阱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熟悉均衡利率的决定和变动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4. 货币市场的均衡和LM曲线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掌握LM曲线的含义与推导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熟悉LM曲线的斜率及影响LM曲线的斜率的因素，理解凯恩斯主义的极端 情况和古典主义的极端情况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熟悉LM曲线的移动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5. 产品市场和货币市场的同时均衡与IS-LM模型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了解均衡收入和均衡利率的含义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熟悉两市场的失衡及其调整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熟悉均衡收入和均衡利率的变动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jc w:val="center"/>
        <w:rPr>
          <w:rStyle w:val="7"/>
        </w:rPr>
      </w:pPr>
      <w:r>
        <w:rPr>
          <w:rStyle w:val="7"/>
        </w:rPr>
        <w:t>　　</w:t>
      </w:r>
      <w:r>
        <w:rPr>
          <w:rStyle w:val="7"/>
          <w:rFonts w:hint="eastAsia"/>
        </w:rPr>
        <w:t xml:space="preserve">第十章 </w:t>
      </w:r>
      <w:r>
        <w:rPr>
          <w:rStyle w:val="7"/>
        </w:rPr>
        <w:t>国民收入的决定：总需求-总供给模型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　</w:t>
      </w:r>
      <w:r>
        <w:rPr>
          <w:rFonts w:ascii="仿宋_GB2312" w:hAnsi="宋体" w:eastAsia="仿宋_GB2312"/>
          <w:sz w:val="24"/>
        </w:rPr>
        <w:t>1.总需求曲线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熟悉从IS-LM模型推导出总需求曲线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2.总供给曲线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了解从劳动市场和总量生产函数推导出总供给曲线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了解长期总供给曲线和短期总供给曲线的不同形状及其原因解释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3.总需求-总供给模型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了解总需求变动对国民收入与价格水平的影响：经济萧条与高涨的说明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了解短期总供给变动对国民收入和价格水平的影响：滞涨的形成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jc w:val="center"/>
        <w:rPr>
          <w:rStyle w:val="7"/>
        </w:rPr>
      </w:pPr>
      <w:r>
        <w:rPr>
          <w:rStyle w:val="7"/>
        </w:rPr>
        <w:t>　　</w:t>
      </w:r>
      <w:r>
        <w:rPr>
          <w:rStyle w:val="7"/>
          <w:rFonts w:hint="eastAsia"/>
        </w:rPr>
        <w:t xml:space="preserve">第十一章 </w:t>
      </w:r>
      <w:r>
        <w:rPr>
          <w:rStyle w:val="7"/>
        </w:rPr>
        <w:t>宏观经济财政政策和货币政策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　</w:t>
      </w:r>
      <w:r>
        <w:rPr>
          <w:rFonts w:ascii="仿宋_GB2312" w:hAnsi="宋体" w:eastAsia="仿宋_GB2312"/>
          <w:sz w:val="24"/>
        </w:rPr>
        <w:t>1.掌握宏观经济政策目标的内容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2.财政政策及其效果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掌握财政政策工具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熟悉相机抉择的财政政策与自动稳定器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掌握挤出效应和财政政策效果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 货币政策及其效果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掌握一般性货币政策工具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了解货币政策的时滞效应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了解货币政策执行规则的选择(单一规则、相机抉择)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掌握货币政策效果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4. 财政政策和货币政策的混合使用分析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熟悉财政政策和货币政策的混合使用分析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会理论联系实际，分析经济问题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</w:p>
    <w:p>
      <w:pPr>
        <w:spacing w:line="400" w:lineRule="exact"/>
        <w:jc w:val="center"/>
        <w:rPr>
          <w:rStyle w:val="7"/>
        </w:rPr>
      </w:pPr>
      <w:r>
        <w:rPr>
          <w:rStyle w:val="7"/>
        </w:rPr>
        <w:t>　　</w:t>
      </w:r>
      <w:r>
        <w:rPr>
          <w:rStyle w:val="7"/>
          <w:rFonts w:hint="eastAsia"/>
        </w:rPr>
        <w:t xml:space="preserve">第十二章 </w:t>
      </w:r>
      <w:r>
        <w:rPr>
          <w:rStyle w:val="7"/>
        </w:rPr>
        <w:t>通货膨胀与失业</w:t>
      </w:r>
    </w:p>
    <w:p>
      <w:pPr>
        <w:spacing w:line="400" w:lineRule="exact"/>
        <w:ind w:left="420" w:hanging="420" w:hangingChars="200"/>
        <w:rPr>
          <w:rFonts w:ascii="仿宋_GB2312" w:hAnsi="宋体" w:eastAsia="仿宋_GB2312"/>
          <w:sz w:val="24"/>
        </w:rPr>
      </w:pPr>
      <w:r>
        <w:rPr>
          <w:rFonts w:ascii="微软雅黑" w:hAnsi="微软雅黑"/>
          <w:color w:val="000000"/>
        </w:rPr>
        <w:t>　　</w:t>
      </w:r>
      <w:r>
        <w:rPr>
          <w:rFonts w:ascii="仿宋_GB2312" w:hAnsi="宋体" w:eastAsia="仿宋_GB2312"/>
          <w:sz w:val="24"/>
        </w:rPr>
        <w:t>1. 通货膨胀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了解通货膨胀的含义与通货膨胀率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了解通货膨胀的类型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掌握需求拉上型通货膨胀和成本推进型通货膨胀的图形分析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熟悉通货膨胀的产出效应和分配效应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2. 失业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了解失业及失业率的测量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熟悉失业的类型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熟悉充分就业和自然失业率的含义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掌握失业与经济增长的关系：奥肯定律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3. 通货膨胀和失业的关系</w:t>
      </w:r>
    </w:p>
    <w:p>
      <w:pPr>
        <w:spacing w:line="400" w:lineRule="exact"/>
        <w:ind w:left="480" w:hanging="480" w:hanging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　　熟悉短期菲利普斯曲线和长期菲利普斯曲线的概念及其政策含义</w:t>
      </w:r>
    </w:p>
    <w:p>
      <w:pPr>
        <w:spacing w:line="400" w:lineRule="exact"/>
        <w:ind w:firstLine="420" w:firstLineChars="200"/>
        <w:rPr>
          <w:rFonts w:ascii="微软雅黑" w:hAnsi="微软雅黑"/>
          <w:color w:val="000000"/>
        </w:rPr>
      </w:pPr>
      <w:r>
        <w:rPr>
          <w:rFonts w:ascii="微软雅黑" w:hAnsi="微软雅黑"/>
          <w:color w:val="000000"/>
        </w:rPr>
        <w:t>　</w:t>
      </w:r>
    </w:p>
    <w:p>
      <w:pPr>
        <w:spacing w:line="400" w:lineRule="exact"/>
        <w:ind w:firstLine="420" w:firstLineChars="200"/>
        <w:rPr>
          <w:rFonts w:ascii="微软雅黑" w:hAnsi="微软雅黑"/>
          <w:color w:val="000000"/>
        </w:rPr>
      </w:pPr>
    </w:p>
    <w:p>
      <w:pPr>
        <w:spacing w:line="400" w:lineRule="exact"/>
        <w:ind w:firstLine="420" w:firstLineChars="200"/>
        <w:rPr>
          <w:rFonts w:hint="eastAsia" w:ascii="微软雅黑" w:hAnsi="微软雅黑" w:eastAsia="宋体"/>
          <w:color w:val="000000"/>
          <w:lang w:val="en-US" w:eastAsia="zh-CN"/>
        </w:rPr>
      </w:pPr>
      <w:r>
        <w:rPr>
          <w:rFonts w:hint="eastAsia" w:ascii="微软雅黑" w:hAnsi="微软雅黑"/>
          <w:color w:val="000000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4C10402"/>
    <w:rsid w:val="00055877"/>
    <w:rsid w:val="004D0458"/>
    <w:rsid w:val="00610B41"/>
    <w:rsid w:val="006C11E8"/>
    <w:rsid w:val="007B2C6F"/>
    <w:rsid w:val="00836C58"/>
    <w:rsid w:val="008F5D51"/>
    <w:rsid w:val="009900B6"/>
    <w:rsid w:val="00B81BCF"/>
    <w:rsid w:val="00E52BD8"/>
    <w:rsid w:val="04C10402"/>
    <w:rsid w:val="083247B6"/>
    <w:rsid w:val="251E000D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Emphasis"/>
    <w:basedOn w:val="6"/>
    <w:qFormat/>
    <w:uiPriority w:val="20"/>
    <w:rPr>
      <w:i/>
      <w:iCs/>
    </w:rPr>
  </w:style>
  <w:style w:type="character" w:customStyle="1" w:styleId="9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7</Pages>
  <Words>615</Words>
  <Characters>3508</Characters>
  <Lines>29</Lines>
  <Paragraphs>8</Paragraphs>
  <TotalTime>28</TotalTime>
  <ScaleCrop>false</ScaleCrop>
  <LinksUpToDate>false</LinksUpToDate>
  <CharactersWithSpaces>4115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2018-05-16T00:29:00Z</dcterms:created>
  <dc:creator>Administrator</dc:creator>
  <cp:lastModifiedBy>KETTERING</cp:lastModifiedBy>
  <dcterms:modified xsi:type="dcterms:W3CDTF">2021-03-10T14:09:47Z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