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outlineLvl w:val="0"/>
        <w:rPr>
          <w:rFonts w:ascii="黑体" w:hAnsi="黑体" w:eastAsia="黑体"/>
          <w:sz w:val="36"/>
          <w:szCs w:val="36"/>
          <w:u w:val="single"/>
        </w:rPr>
      </w:pPr>
      <w:bookmarkStart w:id="0" w:name="_Toc511033783"/>
      <w:r>
        <w:rPr>
          <w:rFonts w:hint="eastAsia" w:ascii="黑体" w:hAnsi="黑体" w:eastAsia="黑体"/>
          <w:sz w:val="36"/>
          <w:szCs w:val="36"/>
          <w:u w:val="single"/>
        </w:rPr>
        <w:t>《机械设计基础》考试大纲</w:t>
      </w:r>
      <w:bookmarkEnd w:id="0"/>
    </w:p>
    <w:tbl>
      <w:tblPr>
        <w:tblStyle w:val="4"/>
        <w:tblW w:w="907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716"/>
        <w:gridCol w:w="885"/>
        <w:gridCol w:w="886"/>
        <w:gridCol w:w="1057"/>
        <w:gridCol w:w="714"/>
        <w:gridCol w:w="987"/>
        <w:gridCol w:w="784"/>
        <w:gridCol w:w="917"/>
        <w:gridCol w:w="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276" w:type="dxa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>课程名称</w:t>
            </w:r>
          </w:p>
        </w:tc>
        <w:tc>
          <w:tcPr>
            <w:tcW w:w="4258" w:type="dxa"/>
            <w:gridSpan w:val="5"/>
            <w:vAlign w:val="center"/>
          </w:tcPr>
          <w:p>
            <w:pPr>
              <w:adjustRightInd w:val="0"/>
              <w:snapToGrid w:val="0"/>
              <w:ind w:firstLine="480"/>
              <w:jc w:val="center"/>
              <w:rPr>
                <w:rFonts w:eastAsia="仿宋"/>
              </w:rPr>
            </w:pPr>
            <w:r>
              <w:rPr>
                <w:rFonts w:hint="eastAsia" w:eastAsia="仿宋"/>
                <w:szCs w:val="21"/>
              </w:rPr>
              <w:t>机械设计基础</w:t>
            </w:r>
          </w:p>
        </w:tc>
        <w:tc>
          <w:tcPr>
            <w:tcW w:w="987" w:type="dxa"/>
            <w:vAlign w:val="center"/>
          </w:tcPr>
          <w:p>
            <w:pPr>
              <w:adjustRightInd w:val="0"/>
              <w:snapToGrid w:val="0"/>
              <w:ind w:left="-142" w:leftChars="-59" w:right="-122" w:rightChars="-51" w:firstLine="0" w:firstLineChars="0"/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>课程编号</w:t>
            </w:r>
          </w:p>
        </w:tc>
        <w:tc>
          <w:tcPr>
            <w:tcW w:w="2555" w:type="dxa"/>
            <w:gridSpan w:val="3"/>
            <w:vAlign w:val="center"/>
          </w:tcPr>
          <w:p>
            <w:pPr>
              <w:adjustRightInd w:val="0"/>
              <w:snapToGrid w:val="0"/>
              <w:ind w:firstLine="482"/>
              <w:jc w:val="center"/>
              <w:rPr>
                <w:rFonts w:eastAsia="仿宋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1276" w:type="dxa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>英文名称</w:t>
            </w:r>
          </w:p>
        </w:tc>
        <w:tc>
          <w:tcPr>
            <w:tcW w:w="7800" w:type="dxa"/>
            <w:gridSpan w:val="9"/>
            <w:vAlign w:val="center"/>
          </w:tcPr>
          <w:p>
            <w:pPr>
              <w:adjustRightInd w:val="0"/>
              <w:snapToGrid w:val="0"/>
              <w:ind w:firstLine="480"/>
              <w:jc w:val="center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</w:rPr>
              <w:t>Fundamentals of Machine Design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1276" w:type="dxa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>适用专业</w:t>
            </w:r>
          </w:p>
        </w:tc>
        <w:tc>
          <w:tcPr>
            <w:tcW w:w="7800" w:type="dxa"/>
            <w:gridSpan w:val="9"/>
            <w:vAlign w:val="center"/>
          </w:tcPr>
          <w:p>
            <w:pPr>
              <w:adjustRightInd w:val="0"/>
              <w:snapToGrid w:val="0"/>
              <w:ind w:firstLine="480"/>
              <w:jc w:val="center"/>
              <w:rPr>
                <w:rFonts w:eastAsia="仿宋"/>
              </w:rPr>
            </w:pPr>
            <w:r>
              <w:rPr>
                <w:rFonts w:hint="eastAsia" w:ascii="仿宋" w:hAnsi="仿宋" w:eastAsia="仿宋"/>
              </w:rPr>
              <w:t>设备类专升本学生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1276" w:type="dxa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>课程性质</w:t>
            </w:r>
          </w:p>
        </w:tc>
        <w:tc>
          <w:tcPr>
            <w:tcW w:w="7800" w:type="dxa"/>
            <w:gridSpan w:val="9"/>
            <w:vAlign w:val="center"/>
          </w:tcPr>
          <w:p>
            <w:pPr>
              <w:adjustRightInd w:val="0"/>
              <w:snapToGrid w:val="0"/>
              <w:ind w:firstLine="480"/>
              <w:jc w:val="center"/>
              <w:rPr>
                <w:rFonts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1276" w:type="dxa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>总 学 时</w:t>
            </w:r>
          </w:p>
        </w:tc>
        <w:tc>
          <w:tcPr>
            <w:tcW w:w="716" w:type="dxa"/>
            <w:vAlign w:val="center"/>
          </w:tcPr>
          <w:p>
            <w:pPr>
              <w:adjustRightInd w:val="0"/>
              <w:snapToGrid w:val="0"/>
              <w:ind w:left="-142" w:leftChars="-59" w:right="-122" w:rightChars="-51" w:firstLine="482"/>
              <w:jc w:val="center"/>
              <w:rPr>
                <w:rFonts w:eastAsia="仿宋"/>
                <w:b/>
              </w:rPr>
            </w:pPr>
          </w:p>
        </w:tc>
        <w:tc>
          <w:tcPr>
            <w:tcW w:w="885" w:type="dxa"/>
            <w:vAlign w:val="center"/>
          </w:tcPr>
          <w:p>
            <w:pPr>
              <w:adjustRightInd w:val="0"/>
              <w:snapToGrid w:val="0"/>
              <w:ind w:left="-142" w:leftChars="-59" w:right="-122" w:rightChars="-51" w:firstLine="0" w:firstLineChars="0"/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>学分</w:t>
            </w:r>
          </w:p>
        </w:tc>
        <w:tc>
          <w:tcPr>
            <w:tcW w:w="886" w:type="dxa"/>
            <w:vAlign w:val="center"/>
          </w:tcPr>
          <w:p>
            <w:pPr>
              <w:adjustRightInd w:val="0"/>
              <w:snapToGrid w:val="0"/>
              <w:ind w:left="-142" w:leftChars="-59" w:right="-122" w:rightChars="-51" w:firstLine="482"/>
              <w:jc w:val="center"/>
              <w:rPr>
                <w:rFonts w:eastAsia="仿宋"/>
                <w:b/>
              </w:rPr>
            </w:pPr>
          </w:p>
        </w:tc>
        <w:tc>
          <w:tcPr>
            <w:tcW w:w="1057" w:type="dxa"/>
            <w:vAlign w:val="center"/>
          </w:tcPr>
          <w:p>
            <w:pPr>
              <w:adjustRightInd w:val="0"/>
              <w:snapToGrid w:val="0"/>
              <w:ind w:left="-142" w:leftChars="-59" w:right="-122" w:rightChars="-51" w:firstLine="0" w:firstLineChars="0"/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>理论学时</w:t>
            </w:r>
          </w:p>
        </w:tc>
        <w:tc>
          <w:tcPr>
            <w:tcW w:w="714" w:type="dxa"/>
            <w:vAlign w:val="center"/>
          </w:tcPr>
          <w:p>
            <w:pPr>
              <w:adjustRightInd w:val="0"/>
              <w:snapToGrid w:val="0"/>
              <w:ind w:left="-142" w:leftChars="-59" w:right="-122" w:rightChars="-51" w:firstLine="482"/>
              <w:jc w:val="center"/>
              <w:rPr>
                <w:rFonts w:eastAsia="仿宋"/>
                <w:b/>
              </w:rPr>
            </w:pPr>
          </w:p>
        </w:tc>
        <w:tc>
          <w:tcPr>
            <w:tcW w:w="987" w:type="dxa"/>
            <w:vAlign w:val="center"/>
          </w:tcPr>
          <w:p>
            <w:pPr>
              <w:adjustRightInd w:val="0"/>
              <w:snapToGrid w:val="0"/>
              <w:ind w:left="-142" w:leftChars="-59" w:right="-122" w:rightChars="-51" w:firstLine="0" w:firstLineChars="0"/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>实践学时</w:t>
            </w:r>
          </w:p>
        </w:tc>
        <w:tc>
          <w:tcPr>
            <w:tcW w:w="784" w:type="dxa"/>
            <w:vAlign w:val="center"/>
          </w:tcPr>
          <w:p>
            <w:pPr>
              <w:adjustRightInd w:val="0"/>
              <w:snapToGrid w:val="0"/>
              <w:ind w:left="-142" w:leftChars="-59" w:right="-122" w:rightChars="-51" w:firstLine="482"/>
              <w:jc w:val="center"/>
              <w:rPr>
                <w:rFonts w:eastAsia="仿宋"/>
                <w:b/>
              </w:rPr>
            </w:pPr>
          </w:p>
        </w:tc>
        <w:tc>
          <w:tcPr>
            <w:tcW w:w="917" w:type="dxa"/>
            <w:vAlign w:val="center"/>
          </w:tcPr>
          <w:p>
            <w:pPr>
              <w:adjustRightInd w:val="0"/>
              <w:snapToGrid w:val="0"/>
              <w:ind w:left="-142" w:leftChars="-59" w:right="-122" w:rightChars="-51" w:firstLine="0" w:firstLineChars="0"/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>上机学时</w:t>
            </w:r>
          </w:p>
        </w:tc>
        <w:tc>
          <w:tcPr>
            <w:tcW w:w="854" w:type="dxa"/>
            <w:vAlign w:val="center"/>
          </w:tcPr>
          <w:p>
            <w:pPr>
              <w:adjustRightInd w:val="0"/>
              <w:snapToGrid w:val="0"/>
              <w:ind w:left="-142" w:leftChars="-59" w:right="-122" w:rightChars="-51" w:firstLine="482"/>
              <w:jc w:val="center"/>
              <w:rPr>
                <w:rFonts w:eastAsia="仿宋"/>
                <w:b/>
              </w:rPr>
            </w:pPr>
          </w:p>
        </w:tc>
      </w:tr>
    </w:tbl>
    <w:p>
      <w:pPr>
        <w:spacing w:line="240" w:lineRule="auto"/>
        <w:ind w:firstLine="160"/>
        <w:jc w:val="center"/>
        <w:rPr>
          <w:rFonts w:ascii="黑体" w:hAnsi="宋体" w:eastAsia="黑体"/>
          <w:sz w:val="8"/>
        </w:rPr>
      </w:pP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一、考试对象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设备类专升本学生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二、命题指导原则、考试方法和考试时间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1.命题的指导原则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命题的指导原则：全面考查学生对本课程的基本概念、基本原理和主要知识点学习、理解和掌握的情况。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  <w:lang w:eastAsia="zh-CN"/>
        </w:rPr>
      </w:pPr>
      <w:r>
        <w:rPr>
          <w:rFonts w:hint="default" w:ascii="Times New Roman" w:hAnsi="Times New Roman" w:eastAsia="仿宋_GB2312" w:cs="Times New Roman"/>
        </w:rPr>
        <w:t>2.考试方法：笔试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3.记分方式：百分制，满分为100分</w:t>
      </w:r>
    </w:p>
    <w:p>
      <w:pPr>
        <w:spacing w:line="380" w:lineRule="exact"/>
        <w:ind w:firstLine="480"/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仿宋_GB2312" w:cs="Times New Roman"/>
        </w:rPr>
        <w:t>4.考试时间：120分钟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三、考核知识范围及要求</w:t>
      </w:r>
    </w:p>
    <w:p>
      <w:pPr>
        <w:ind w:firstLine="482"/>
        <w:rPr>
          <w:rFonts w:hint="default" w:ascii="Times New Roman" w:hAnsi="Times New Roman" w:eastAsia="仿宋_GB2312" w:cs="Times New Roman"/>
          <w:b/>
          <w:kern w:val="0"/>
        </w:rPr>
      </w:pPr>
      <w:r>
        <w:rPr>
          <w:rFonts w:hint="default" w:ascii="Times New Roman" w:hAnsi="Times New Roman" w:eastAsia="仿宋_GB2312" w:cs="Times New Roman"/>
          <w:b w:val="0"/>
          <w:bCs/>
          <w:kern w:val="0"/>
        </w:rPr>
        <w:t>1．绪论</w:t>
      </w:r>
      <w:r>
        <w:rPr>
          <w:rFonts w:hint="default" w:ascii="Times New Roman" w:hAnsi="Times New Roman" w:eastAsia="仿宋_GB2312" w:cs="Times New Roman"/>
          <w:b/>
          <w:kern w:val="0"/>
        </w:rPr>
        <w:t xml:space="preserve">  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机械及其组成，本课程内容、性质、任务和学习方法，机械设计应满足的基本要求及一般设计</w:t>
      </w:r>
      <w:r>
        <w:rPr>
          <w:rFonts w:hint="default" w:ascii="Times New Roman" w:hAnsi="Times New Roman" w:eastAsia="仿宋_GB2312" w:cs="Times New Roman"/>
          <w:lang w:eastAsia="zh-CN"/>
        </w:rPr>
        <w:t>过程</w:t>
      </w:r>
      <w:r>
        <w:rPr>
          <w:rFonts w:hint="default" w:ascii="Times New Roman" w:hAnsi="Times New Roman" w:eastAsia="仿宋_GB2312" w:cs="Times New Roman"/>
        </w:rPr>
        <w:t>。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重点：机械的组成，机械、机构、构件和零件的概念。</w:t>
      </w:r>
    </w:p>
    <w:p>
      <w:pPr>
        <w:ind w:firstLine="482"/>
        <w:rPr>
          <w:rFonts w:hint="default" w:ascii="Times New Roman" w:hAnsi="Times New Roman" w:eastAsia="仿宋_GB2312" w:cs="Times New Roman"/>
          <w:b w:val="0"/>
          <w:bCs/>
          <w:kern w:val="0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/>
          <w:kern w:val="0"/>
        </w:rPr>
        <w:t>2.平面机构</w:t>
      </w:r>
      <w:r>
        <w:rPr>
          <w:rFonts w:hint="default" w:ascii="Times New Roman" w:hAnsi="Times New Roman" w:eastAsia="仿宋_GB2312" w:cs="Times New Roman"/>
          <w:b w:val="0"/>
          <w:bCs/>
          <w:kern w:val="0"/>
          <w:lang w:eastAsia="zh-CN"/>
        </w:rPr>
        <w:t>运动分析基础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1）明确构件、运动副、约束、自由度及运动链等重要概念。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2）熟练掌握机构运动简图的绘制方法。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3）熟练掌握平面机构自由度的计算方法</w:t>
      </w:r>
      <w:r>
        <w:rPr>
          <w:rFonts w:hint="default" w:ascii="Times New Roman" w:hAnsi="Times New Roman" w:eastAsia="仿宋_GB2312" w:cs="Times New Roman"/>
          <w:lang w:eastAsia="zh-CN"/>
        </w:rPr>
        <w:t>以及应</w:t>
      </w:r>
      <w:r>
        <w:rPr>
          <w:rFonts w:hint="default" w:ascii="Times New Roman" w:hAnsi="Times New Roman" w:eastAsia="仿宋_GB2312" w:cs="Times New Roman"/>
        </w:rPr>
        <w:t>注意事项，并判断其具有确定运动的条件。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重点掌握机构自由度的计算和机构具有确定运动的条件。</w:t>
      </w:r>
    </w:p>
    <w:p>
      <w:pPr>
        <w:ind w:firstLine="482"/>
        <w:rPr>
          <w:rFonts w:hint="default" w:ascii="Times New Roman" w:hAnsi="Times New Roman" w:eastAsia="仿宋_GB2312" w:cs="Times New Roman"/>
          <w:b w:val="0"/>
          <w:bCs/>
          <w:kern w:val="0"/>
        </w:rPr>
      </w:pPr>
      <w:r>
        <w:rPr>
          <w:rFonts w:hint="default" w:ascii="Times New Roman" w:hAnsi="Times New Roman" w:eastAsia="仿宋_GB2312" w:cs="Times New Roman"/>
          <w:b w:val="0"/>
          <w:bCs/>
          <w:kern w:val="0"/>
        </w:rPr>
        <w:t>3. 平面连杆机构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1）掌握平面四杆机构的基本型式及演化方法。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2）掌握有关四杆机构的基本特性，四杆机构</w:t>
      </w:r>
      <w:r>
        <w:rPr>
          <w:rFonts w:hint="default" w:ascii="Times New Roman" w:hAnsi="Times New Roman" w:eastAsia="仿宋_GB2312" w:cs="Times New Roman"/>
          <w:lang w:eastAsia="zh-CN"/>
        </w:rPr>
        <w:t>存在</w:t>
      </w:r>
      <w:r>
        <w:rPr>
          <w:rFonts w:hint="default" w:ascii="Times New Roman" w:hAnsi="Times New Roman" w:eastAsia="仿宋_GB2312" w:cs="Times New Roman"/>
        </w:rPr>
        <w:t>曲柄的条件、急回特性、压力角和传动角、死点位置。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3）了解图解法设计平面四杆机构。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重点：压力角、传动角、极位夹角、死点位置的概念；了解死点位置在机械中的应用；铰链四杆机构存在曲柄的条件；平面四杆机构的演化，扩展对连杆机构的认识。</w:t>
      </w:r>
    </w:p>
    <w:p>
      <w:pPr>
        <w:ind w:firstLine="482"/>
        <w:rPr>
          <w:rFonts w:hint="default" w:ascii="Times New Roman" w:hAnsi="Times New Roman" w:eastAsia="仿宋_GB2312" w:cs="Times New Roman"/>
          <w:b w:val="0"/>
          <w:bCs/>
          <w:kern w:val="0"/>
        </w:rPr>
      </w:pPr>
      <w:r>
        <w:rPr>
          <w:rFonts w:hint="default" w:ascii="Times New Roman" w:hAnsi="Times New Roman" w:eastAsia="仿宋_GB2312" w:cs="Times New Roman"/>
          <w:b w:val="0"/>
          <w:bCs/>
          <w:kern w:val="0"/>
        </w:rPr>
        <w:t>4. 凸轮机构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1）了解凸轮机构的类型及特点和应用。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2）掌握凸轮机构从动件常用运动规律的特性及其选择。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重点：图解法设计直动从动件盘形凸轮轮廓；压力角、基圆半径对凸轮机构受力及尺寸的影响，滚子半径与理论廓线最小曲率半径的关系。</w:t>
      </w:r>
    </w:p>
    <w:p>
      <w:pPr>
        <w:ind w:firstLine="482"/>
        <w:rPr>
          <w:rFonts w:hint="default" w:ascii="Times New Roman" w:hAnsi="Times New Roman" w:eastAsia="仿宋_GB2312" w:cs="Times New Roman"/>
          <w:b w:val="0"/>
          <w:bCs/>
          <w:kern w:val="0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/>
          <w:kern w:val="0"/>
        </w:rPr>
        <w:t>5. 齿轮机构</w:t>
      </w:r>
      <w:r>
        <w:rPr>
          <w:rFonts w:hint="default" w:ascii="Times New Roman" w:hAnsi="Times New Roman" w:eastAsia="仿宋_GB2312" w:cs="Times New Roman"/>
          <w:b w:val="0"/>
          <w:bCs/>
          <w:kern w:val="0"/>
          <w:lang w:eastAsia="zh-CN"/>
        </w:rPr>
        <w:t>与轮系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1）了解齿轮机构的类型及应用。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2）了解渐开线的形成过程、性质及方程，掌握渐开线齿廓的啮合特性。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3）掌握标准直齿圆柱齿轮传动的基本参数和几何尺寸计算方法，及啮合传动。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4）了解斜齿轮传动、直齿圆锥齿轮传动的形成原理，基本参数，正确啮合条件。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</w:rPr>
        <w:t>）掌握齿轮传动的主要失效形式及设计准则。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</w:rPr>
        <w:t>）熟练掌握齿轮传动的受力分析方法。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</w:rPr>
        <w:t>）了解轮系的应用和分类。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</w:rPr>
        <w:t>）掌握定轴轮系、周转轮系传动比的计算。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  <w:lang w:eastAsia="zh-CN"/>
        </w:rPr>
      </w:pPr>
      <w:r>
        <w:rPr>
          <w:rFonts w:hint="default" w:ascii="Times New Roman" w:hAnsi="Times New Roman" w:eastAsia="仿宋_GB2312" w:cs="Times New Roman"/>
        </w:rPr>
        <w:t>重点：熟练掌握齿轮传动的设计方法</w:t>
      </w:r>
      <w:r>
        <w:rPr>
          <w:rFonts w:hint="default" w:ascii="Times New Roman" w:hAnsi="Times New Roman" w:eastAsia="仿宋_GB2312" w:cs="Times New Roman"/>
          <w:lang w:eastAsia="zh-CN"/>
        </w:rPr>
        <w:t>；</w:t>
      </w:r>
      <w:r>
        <w:rPr>
          <w:rFonts w:hint="default" w:ascii="Times New Roman" w:hAnsi="Times New Roman" w:eastAsia="仿宋_GB2312" w:cs="Times New Roman"/>
        </w:rPr>
        <w:t>渐开线圆柱齿轮的参数及其尺寸计算；斜齿圆柱齿轮端面与法面参数的关系</w:t>
      </w:r>
      <w:r>
        <w:rPr>
          <w:rFonts w:hint="default" w:ascii="Times New Roman" w:hAnsi="Times New Roman" w:eastAsia="仿宋_GB2312" w:cs="Times New Roman"/>
          <w:lang w:eastAsia="zh-CN"/>
        </w:rPr>
        <w:t>；</w:t>
      </w:r>
      <w:r>
        <w:rPr>
          <w:rFonts w:hint="default" w:ascii="Times New Roman" w:hAnsi="Times New Roman" w:eastAsia="仿宋_GB2312" w:cs="Times New Roman"/>
        </w:rPr>
        <w:t>齿轮传动的受力分析方法；直齿圆柱的强度计算；掌握斜齿圆柱齿轮传动强度计算</w:t>
      </w:r>
      <w:r>
        <w:rPr>
          <w:rFonts w:hint="default" w:ascii="Times New Roman" w:hAnsi="Times New Roman" w:eastAsia="仿宋_GB2312" w:cs="Times New Roman"/>
          <w:lang w:eastAsia="zh-CN"/>
        </w:rPr>
        <w:t>。</w:t>
      </w:r>
    </w:p>
    <w:p>
      <w:pPr>
        <w:ind w:firstLine="482"/>
        <w:rPr>
          <w:rFonts w:hint="default" w:ascii="Times New Roman" w:hAnsi="Times New Roman" w:eastAsia="仿宋_GB2312" w:cs="Times New Roman"/>
          <w:b w:val="0"/>
          <w:bCs/>
          <w:kern w:val="0"/>
        </w:rPr>
      </w:pPr>
      <w:r>
        <w:rPr>
          <w:rFonts w:hint="default" w:ascii="Times New Roman" w:hAnsi="Times New Roman" w:eastAsia="仿宋_GB2312" w:cs="Times New Roman"/>
          <w:b w:val="0"/>
          <w:bCs/>
          <w:kern w:val="0"/>
        </w:rPr>
        <w:t>6.其他常用机构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  <w:lang w:eastAsia="zh-CN"/>
        </w:rPr>
      </w:pPr>
      <w:r>
        <w:rPr>
          <w:rFonts w:hint="default" w:ascii="Times New Roman" w:hAnsi="Times New Roman" w:eastAsia="仿宋_GB2312" w:cs="Times New Roman"/>
        </w:rPr>
        <w:t>1）了解棘轮机构、槽轮机构、不完全齿轮机构、凸轮间歇运动机构等常见机构的组成、特点和工作原理</w:t>
      </w:r>
      <w:r>
        <w:rPr>
          <w:rFonts w:hint="default" w:ascii="Times New Roman" w:hAnsi="Times New Roman" w:eastAsia="仿宋_GB2312" w:cs="Times New Roman"/>
          <w:lang w:eastAsia="zh-CN"/>
        </w:rPr>
        <w:t>。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2）了解螺纹的类型和主要参数。了解螺旋传动的类型及应用。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  <w:lang w:eastAsia="zh-CN"/>
        </w:rPr>
      </w:pPr>
      <w:r>
        <w:rPr>
          <w:rFonts w:hint="default" w:ascii="Times New Roman" w:hAnsi="Times New Roman" w:eastAsia="仿宋_GB2312" w:cs="Times New Roman"/>
        </w:rPr>
        <w:t>3）了解蜗杆传动的类型、特点及应用，合理选择蜗杆传动的主要参数；掌握蜗杆传动的转向判断</w:t>
      </w:r>
      <w:r>
        <w:rPr>
          <w:rFonts w:hint="default" w:ascii="Times New Roman" w:hAnsi="Times New Roman" w:eastAsia="仿宋_GB2312" w:cs="Times New Roman"/>
          <w:lang w:eastAsia="zh-CN"/>
        </w:rPr>
        <w:t>。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  <w:lang w:eastAsia="zh-CN"/>
        </w:rPr>
      </w:pPr>
      <w:r>
        <w:rPr>
          <w:rFonts w:hint="default" w:ascii="Times New Roman" w:hAnsi="Times New Roman" w:eastAsia="仿宋_GB2312" w:cs="Times New Roman"/>
        </w:rPr>
        <w:t>重点：常见间歇运动机构的组成、特点；蜗杆传动的转向判断</w:t>
      </w:r>
      <w:r>
        <w:rPr>
          <w:rFonts w:hint="default" w:ascii="Times New Roman" w:hAnsi="Times New Roman" w:eastAsia="仿宋_GB2312" w:cs="Times New Roman"/>
          <w:lang w:eastAsia="zh-CN"/>
        </w:rPr>
        <w:t>。</w:t>
      </w:r>
    </w:p>
    <w:p>
      <w:pPr>
        <w:ind w:firstLine="482"/>
        <w:rPr>
          <w:rFonts w:hint="default" w:ascii="Times New Roman" w:hAnsi="Times New Roman" w:eastAsia="仿宋_GB2312" w:cs="Times New Roman"/>
          <w:b/>
          <w:kern w:val="0"/>
        </w:rPr>
      </w:pPr>
      <w:r>
        <w:rPr>
          <w:rFonts w:hint="default" w:ascii="Times New Roman" w:hAnsi="Times New Roman" w:eastAsia="仿宋_GB2312" w:cs="Times New Roman"/>
          <w:b w:val="0"/>
          <w:bCs/>
          <w:kern w:val="0"/>
        </w:rPr>
        <w:t>7.连接</w:t>
      </w:r>
      <w:r>
        <w:rPr>
          <w:rFonts w:hint="default" w:ascii="Times New Roman" w:hAnsi="Times New Roman" w:eastAsia="仿宋_GB2312" w:cs="Times New Roman"/>
          <w:b/>
          <w:kern w:val="0"/>
        </w:rPr>
        <w:t xml:space="preserve"> 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1）掌握理解螺纹联接的类型，特点、预紧和防松。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2）了解螺栓联接的强度计算。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3）了解键联接的类型、特点、应用及工作原理，掌握平键连接的选型及应用。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4）了解销联接的类型、特点。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5）了解联轴器、离合器的类型、特点。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重点：螺纹连接的基本知识（螺纹连接的基本类型、结构特点及其应用，螺纹连接的预紧与防松）；熟练掌握螺纹连接的结构设计、受力分析、</w:t>
      </w:r>
      <w:r>
        <w:rPr>
          <w:rFonts w:hint="default" w:ascii="Times New Roman" w:hAnsi="Times New Roman" w:eastAsia="仿宋_GB2312" w:cs="Times New Roman"/>
          <w:lang w:eastAsia="zh-CN"/>
        </w:rPr>
        <w:t>失</w:t>
      </w:r>
      <w:r>
        <w:rPr>
          <w:rFonts w:hint="default" w:ascii="Times New Roman" w:hAnsi="Times New Roman" w:eastAsia="仿宋_GB2312" w:cs="Times New Roman"/>
        </w:rPr>
        <w:t>效形式、设计准则；熟练掌握平键连接的选型及校核计算。</w:t>
      </w:r>
    </w:p>
    <w:p>
      <w:pPr>
        <w:ind w:firstLine="482"/>
        <w:rPr>
          <w:rFonts w:hint="default" w:ascii="Times New Roman" w:hAnsi="Times New Roman" w:eastAsia="仿宋_GB2312" w:cs="Times New Roman"/>
          <w:b/>
          <w:kern w:val="0"/>
        </w:rPr>
      </w:pPr>
      <w:r>
        <w:rPr>
          <w:rFonts w:hint="default" w:ascii="Times New Roman" w:hAnsi="Times New Roman" w:eastAsia="仿宋_GB2312" w:cs="Times New Roman"/>
          <w:b w:val="0"/>
          <w:bCs/>
          <w:kern w:val="0"/>
        </w:rPr>
        <w:t xml:space="preserve">8.带传动 </w:t>
      </w:r>
      <w:r>
        <w:rPr>
          <w:rFonts w:hint="default" w:ascii="Times New Roman" w:hAnsi="Times New Roman" w:eastAsia="仿宋_GB2312" w:cs="Times New Roman"/>
          <w:b/>
          <w:kern w:val="0"/>
        </w:rPr>
        <w:t xml:space="preserve">      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1）掌握V带的类型。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2）掌握带传动中各力的关系及应力分布规律。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3）掌握带传动的弹性滑动和传动比；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4）了解带传动的失效形式及设计准则。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5）了解V带传动的设计计算。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重点：带传动的受力分析、速度分析和应力分析、弹性滑动和打滑的基本理论及联系；带传动的失效形式、设计准则、V带传动的设计计算方法及其参数选择的原则；掌握带传动的张紧方式。</w:t>
      </w:r>
    </w:p>
    <w:p>
      <w:pPr>
        <w:ind w:firstLine="482"/>
        <w:rPr>
          <w:rFonts w:hint="default" w:ascii="Times New Roman" w:hAnsi="Times New Roman" w:eastAsia="仿宋_GB2312" w:cs="Times New Roman"/>
          <w:b/>
          <w:kern w:val="0"/>
        </w:rPr>
      </w:pPr>
      <w:r>
        <w:rPr>
          <w:rFonts w:hint="default" w:ascii="Times New Roman" w:hAnsi="Times New Roman" w:eastAsia="仿宋_GB2312" w:cs="Times New Roman"/>
          <w:b w:val="0"/>
          <w:bCs/>
          <w:kern w:val="0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b w:val="0"/>
          <w:bCs/>
          <w:kern w:val="0"/>
        </w:rPr>
        <w:t>. 轴</w:t>
      </w:r>
      <w:r>
        <w:rPr>
          <w:rFonts w:hint="default" w:ascii="Times New Roman" w:hAnsi="Times New Roman" w:eastAsia="仿宋_GB2312" w:cs="Times New Roman"/>
          <w:b/>
          <w:kern w:val="0"/>
        </w:rPr>
        <w:t xml:space="preserve">  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1）了解轴的功用、类型、特点及应用。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2）掌握轴的结构设计。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重点：轴的结构设计的基本要领；轴的强度计算。</w:t>
      </w:r>
    </w:p>
    <w:p>
      <w:pPr>
        <w:ind w:firstLine="482"/>
        <w:rPr>
          <w:rFonts w:hint="default" w:ascii="Times New Roman" w:hAnsi="Times New Roman" w:eastAsia="仿宋_GB2312" w:cs="Times New Roman"/>
          <w:b/>
          <w:kern w:val="0"/>
        </w:rPr>
      </w:pPr>
      <w:r>
        <w:rPr>
          <w:rFonts w:hint="default" w:ascii="Times New Roman" w:hAnsi="Times New Roman" w:eastAsia="仿宋_GB2312" w:cs="Times New Roman"/>
          <w:b w:val="0"/>
          <w:bCs/>
          <w:kern w:val="0"/>
        </w:rPr>
        <w:t>1</w:t>
      </w:r>
      <w:r>
        <w:rPr>
          <w:rFonts w:hint="default" w:ascii="Times New Roman" w:hAnsi="Times New Roman" w:eastAsia="仿宋_GB2312" w:cs="Times New Roman"/>
          <w:b w:val="0"/>
          <w:bCs/>
          <w:kern w:val="0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 w:val="0"/>
          <w:bCs/>
          <w:kern w:val="0"/>
        </w:rPr>
        <w:t>. 轴承</w:t>
      </w:r>
      <w:r>
        <w:rPr>
          <w:rFonts w:hint="default" w:ascii="Times New Roman" w:hAnsi="Times New Roman" w:eastAsia="仿宋_GB2312" w:cs="Times New Roman"/>
          <w:b/>
          <w:kern w:val="0"/>
        </w:rPr>
        <w:t xml:space="preserve">  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1）了解各类型轴承的特点、代号，能正确选择轴承类型。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2）掌握滚动轴承装置设计方法，正确设计滚动轴承轴系部件的结构。</w:t>
      </w:r>
    </w:p>
    <w:p>
      <w:pPr>
        <w:spacing w:line="380" w:lineRule="exact"/>
        <w:ind w:firstLine="480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eastAsia="仿宋_GB2312" w:cs="Times New Roman"/>
        </w:rPr>
        <w:t>重点：滚动轴承代号，掌握常用滚动轴承的类型和代号；掌握滚动轴承的寿命计算。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五、试题结构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1）试卷内容比例：试卷内容将覆盖全部10章。其中：第1、2、3、4、5、6等六章所占比例为50-</w:t>
      </w:r>
      <w:r>
        <w:rPr>
          <w:rFonts w:hint="eastAsia" w:ascii="Times New Roman" w:hAnsi="Times New Roman" w:eastAsia="仿宋_GB2312" w:cs="Times New Roman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</w:rPr>
        <w:t>0%，其余</w:t>
      </w:r>
      <w:r>
        <w:rPr>
          <w:rFonts w:hint="default" w:ascii="Times New Roman" w:hAnsi="Times New Roman" w:eastAsia="仿宋_GB2312" w:cs="Times New Roman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</w:rPr>
        <w:t>章所占比例为</w:t>
      </w:r>
      <w:r>
        <w:rPr>
          <w:rFonts w:hint="eastAsia" w:ascii="Times New Roman" w:hAnsi="Times New Roman" w:eastAsia="仿宋_GB2312" w:cs="Times New Roman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</w:rPr>
        <w:t>0-50%。</w:t>
      </w:r>
      <w:bookmarkStart w:id="1" w:name="_GoBack"/>
      <w:bookmarkEnd w:id="1"/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2）试卷难易比例：易、中、难分别为</w:t>
      </w:r>
      <w:r>
        <w:rPr>
          <w:rFonts w:hint="default" w:ascii="Times New Roman" w:hAnsi="Times New Roman" w:eastAsia="仿宋_GB2312" w:cs="Times New Roman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</w:rPr>
        <w:t>0%、</w:t>
      </w:r>
      <w:r>
        <w:rPr>
          <w:rFonts w:hint="default" w:ascii="Times New Roman" w:hAnsi="Times New Roman" w:eastAsia="仿宋_GB2312" w:cs="Times New Roman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</w:rPr>
        <w:t>0%和 20%。</w:t>
      </w:r>
    </w:p>
    <w:p>
      <w:pPr>
        <w:spacing w:line="380" w:lineRule="exact"/>
        <w:ind w:firstLine="480"/>
        <w:rPr>
          <w:rFonts w:hint="eastAsia" w:ascii="Times New Roman" w:hAnsi="Times New Roman" w:eastAsia="仿宋_GB2312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仿宋_GB2312" w:cs="Times New Roman"/>
        </w:rPr>
        <w:t>3）试卷题型</w:t>
      </w:r>
      <w:r>
        <w:rPr>
          <w:rFonts w:hint="eastAsia" w:ascii="Times New Roman" w:hAnsi="Times New Roman" w:eastAsia="仿宋_GB2312" w:cs="Times New Roman"/>
          <w:lang w:eastAsia="zh-CN"/>
        </w:rPr>
        <w:t>：</w:t>
      </w:r>
      <w:r>
        <w:rPr>
          <w:rFonts w:hint="default" w:ascii="Times New Roman" w:hAnsi="Times New Roman" w:eastAsia="仿宋_GB2312" w:cs="Times New Roman"/>
        </w:rPr>
        <w:t>选择题</w:t>
      </w:r>
      <w:r>
        <w:rPr>
          <w:rFonts w:hint="eastAsia" w:ascii="Times New Roman" w:hAnsi="Times New Roman" w:eastAsia="仿宋_GB2312" w:cs="Times New Roman"/>
          <w:lang w:eastAsia="zh-CN"/>
        </w:rPr>
        <w:t>、</w:t>
      </w:r>
      <w:r>
        <w:rPr>
          <w:rFonts w:hint="default" w:ascii="Times New Roman" w:hAnsi="Times New Roman" w:eastAsia="仿宋_GB2312" w:cs="Times New Roman"/>
        </w:rPr>
        <w:t>填空题（或者判断题）</w:t>
      </w:r>
      <w:r>
        <w:rPr>
          <w:rFonts w:hint="eastAsia" w:ascii="Times New Roman" w:hAnsi="Times New Roman" w:eastAsia="仿宋_GB2312" w:cs="Times New Roman"/>
          <w:lang w:eastAsia="zh-CN"/>
        </w:rPr>
        <w:t>、</w:t>
      </w:r>
      <w:r>
        <w:rPr>
          <w:rFonts w:hint="default" w:ascii="Times New Roman" w:hAnsi="Times New Roman" w:eastAsia="仿宋_GB2312" w:cs="Times New Roman"/>
        </w:rPr>
        <w:t>简答题</w:t>
      </w:r>
      <w:r>
        <w:rPr>
          <w:rFonts w:hint="eastAsia" w:ascii="Times New Roman" w:hAnsi="Times New Roman" w:eastAsia="仿宋_GB2312" w:cs="Times New Roman"/>
          <w:lang w:eastAsia="zh-CN"/>
        </w:rPr>
        <w:t>、</w:t>
      </w:r>
      <w:r>
        <w:rPr>
          <w:rFonts w:hint="default" w:ascii="Times New Roman" w:hAnsi="Times New Roman" w:eastAsia="仿宋_GB2312" w:cs="Times New Roman"/>
        </w:rPr>
        <w:t>计算题</w:t>
      </w:r>
      <w:r>
        <w:rPr>
          <w:rFonts w:hint="eastAsia" w:ascii="Times New Roman" w:hAnsi="Times New Roman" w:eastAsia="仿宋_GB2312" w:cs="Times New Roman"/>
          <w:lang w:eastAsia="zh-CN"/>
        </w:rPr>
        <w:t>和轴系的结构改错题。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六、考试要求</w:t>
      </w:r>
    </w:p>
    <w:p>
      <w:pPr>
        <w:spacing w:line="380" w:lineRule="exact"/>
        <w:ind w:firstLine="480"/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仿宋_GB2312" w:cs="Times New Roman"/>
        </w:rPr>
        <w:t>本课程考试为闭卷考试，考生不得携带任何纸张、</w:t>
      </w:r>
      <w:r>
        <w:rPr>
          <w:rFonts w:hint="default" w:ascii="Times New Roman" w:hAnsi="Times New Roman" w:eastAsia="仿宋_GB2312" w:cs="Times New Roman"/>
          <w:lang w:eastAsia="zh-CN"/>
        </w:rPr>
        <w:t>相关</w:t>
      </w:r>
      <w:r>
        <w:rPr>
          <w:rFonts w:hint="default" w:ascii="Times New Roman" w:hAnsi="Times New Roman" w:eastAsia="仿宋_GB2312" w:cs="Times New Roman"/>
        </w:rPr>
        <w:t>参考资料、电子读物</w:t>
      </w:r>
      <w:r>
        <w:rPr>
          <w:rFonts w:hint="default" w:ascii="Times New Roman" w:hAnsi="Times New Roman" w:eastAsia="仿宋_GB2312" w:cs="Times New Roman"/>
          <w:lang w:eastAsia="zh-CN"/>
        </w:rPr>
        <w:t>和</w:t>
      </w:r>
      <w:r>
        <w:rPr>
          <w:rFonts w:hint="default" w:ascii="Times New Roman" w:hAnsi="Times New Roman" w:eastAsia="仿宋_GB2312" w:cs="Times New Roman"/>
        </w:rPr>
        <w:t>电子器具等进入考场。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七、主要参考书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1）《机械设计基础》，柴鹏飞、赵大民主编， 机械工业出版社，2020.01.14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</w:rPr>
        <w:t>）《机械设计基础》，胡家秀主编，机械工业出版社，2020.03.03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</w:rPr>
        <w:t>）《机械原理》（第八版），孙恒、陈作模、葛文杰主编，高等教育出版社，2013.04</w:t>
      </w:r>
    </w:p>
    <w:p>
      <w:pPr>
        <w:spacing w:line="380" w:lineRule="exact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</w:rPr>
        <w:t>）《机械设计》（第十版），濮良贵、陈国定、吴立言主编，高等教育出版社，2019.07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1E2"/>
    <w:rsid w:val="00050A4C"/>
    <w:rsid w:val="000D74A0"/>
    <w:rsid w:val="001520F6"/>
    <w:rsid w:val="0020029E"/>
    <w:rsid w:val="00227B8E"/>
    <w:rsid w:val="00237AD9"/>
    <w:rsid w:val="00270D50"/>
    <w:rsid w:val="003A1E99"/>
    <w:rsid w:val="00425B92"/>
    <w:rsid w:val="0043556D"/>
    <w:rsid w:val="00481E70"/>
    <w:rsid w:val="0053616F"/>
    <w:rsid w:val="0062475F"/>
    <w:rsid w:val="00655D43"/>
    <w:rsid w:val="00672E65"/>
    <w:rsid w:val="006D62F5"/>
    <w:rsid w:val="007F34B7"/>
    <w:rsid w:val="008A2B59"/>
    <w:rsid w:val="00917557"/>
    <w:rsid w:val="00945900"/>
    <w:rsid w:val="00972552"/>
    <w:rsid w:val="00AA79F5"/>
    <w:rsid w:val="00AA7E7B"/>
    <w:rsid w:val="00B52B5C"/>
    <w:rsid w:val="00B6415F"/>
    <w:rsid w:val="00B761D5"/>
    <w:rsid w:val="00C00E1A"/>
    <w:rsid w:val="00C120CC"/>
    <w:rsid w:val="00CB0B4A"/>
    <w:rsid w:val="00D371E2"/>
    <w:rsid w:val="00EA0DED"/>
    <w:rsid w:val="00FA1ABF"/>
    <w:rsid w:val="00FA6ACA"/>
    <w:rsid w:val="00FD62DE"/>
    <w:rsid w:val="08C474E1"/>
    <w:rsid w:val="116A6B7F"/>
    <w:rsid w:val="260751A7"/>
    <w:rsid w:val="644B5B38"/>
    <w:rsid w:val="66B45D1E"/>
    <w:rsid w:val="7C771287"/>
    <w:rsid w:val="7FB35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723" w:firstLineChars="20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ind w:firstLine="0" w:firstLineChars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ind w:firstLine="0" w:firstLineChars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329</Words>
  <Characters>1876</Characters>
  <Lines>15</Lines>
  <Paragraphs>4</Paragraphs>
  <TotalTime>11</TotalTime>
  <ScaleCrop>false</ScaleCrop>
  <LinksUpToDate>false</LinksUpToDate>
  <CharactersWithSpaces>2201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2021-03-14T07:57:00Z</dcterms:created>
  <dc:creator>daneu</dc:creator>
  <cp:lastModifiedBy>LWNCJC</cp:lastModifiedBy>
  <dcterms:modified xsi:type="dcterms:W3CDTF">2022-03-01T05:33:01Z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9ABB34AD8ED543E2A890946EFF0BD36A</vt:lpwstr>
  </property>
</Properties>
</file>