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BEC" w:rsidRDefault="00D657F4">
      <w:pPr>
        <w:spacing w:afterLines="50" w:after="156" w:line="348" w:lineRule="auto"/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0" w:name="_Toc511033778"/>
      <w:r>
        <w:rPr>
          <w:rFonts w:ascii="黑体" w:eastAsia="黑体" w:hAnsi="黑体" w:hint="eastAsia"/>
          <w:sz w:val="36"/>
          <w:szCs w:val="36"/>
          <w:u w:val="single"/>
        </w:rPr>
        <w:t>《园林快题设计》考试大纲</w:t>
      </w:r>
      <w:bookmarkEnd w:id="0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765BEC">
        <w:trPr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765BEC" w:rsidRDefault="00D657F4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eastAsia="仿宋" w:hint="eastAsia"/>
                <w:szCs w:val="21"/>
              </w:rPr>
              <w:t>园林快题设计</w:t>
            </w:r>
          </w:p>
        </w:tc>
        <w:tc>
          <w:tcPr>
            <w:tcW w:w="98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765BEC" w:rsidRDefault="00765BEC"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765BEC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D657F4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风景园林、建筑学、城乡规划专业专升本学生</w:t>
            </w: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765BEC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总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学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一、考试目的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本考试主要考查学生对景观设计</w:t>
      </w:r>
      <w:r>
        <w:rPr>
          <w:rFonts w:asciiTheme="minorEastAsia" w:eastAsiaTheme="minorEastAsia" w:hAnsiTheme="minorEastAsia" w:hint="eastAsia"/>
          <w:sz w:val="21"/>
          <w:szCs w:val="21"/>
        </w:rPr>
        <w:t>和建筑设计</w:t>
      </w:r>
      <w:r>
        <w:rPr>
          <w:rFonts w:asciiTheme="minorEastAsia" w:eastAsiaTheme="minorEastAsia" w:hAnsiTheme="minorEastAsia"/>
          <w:sz w:val="21"/>
          <w:szCs w:val="21"/>
        </w:rPr>
        <w:t>方法以及设计图纸表达等相关知识的综合运用能力。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二、基本要求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试题主要是考察学生对于园林景观设计</w:t>
      </w:r>
      <w:r>
        <w:rPr>
          <w:rFonts w:asciiTheme="minorEastAsia" w:eastAsiaTheme="minorEastAsia" w:hAnsiTheme="minorEastAsia" w:hint="eastAsia"/>
          <w:sz w:val="21"/>
          <w:szCs w:val="21"/>
        </w:rPr>
        <w:t>和建筑设计</w:t>
      </w:r>
      <w:r>
        <w:rPr>
          <w:rFonts w:asciiTheme="minorEastAsia" w:eastAsiaTheme="minorEastAsia" w:hAnsiTheme="minorEastAsia"/>
          <w:sz w:val="21"/>
          <w:szCs w:val="21"/>
        </w:rPr>
        <w:t>方法、表现、制图等方面的知识，难易适中，题型以绘图的形式为主。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三、考试内容及分值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•总平面图（</w:t>
      </w:r>
      <w:r>
        <w:rPr>
          <w:rFonts w:asciiTheme="minorEastAsia" w:eastAsiaTheme="minorEastAsia" w:hAnsiTheme="minorEastAsia" w:hint="eastAsia"/>
          <w:sz w:val="21"/>
          <w:szCs w:val="21"/>
        </w:rPr>
        <w:t>30</w:t>
      </w:r>
      <w:r>
        <w:rPr>
          <w:rFonts w:asciiTheme="minorEastAsia" w:eastAsiaTheme="minorEastAsia" w:hAnsiTheme="minorEastAsia"/>
          <w:sz w:val="21"/>
          <w:szCs w:val="21"/>
        </w:rPr>
        <w:t>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</w:t>
      </w:r>
      <w:r>
        <w:rPr>
          <w:rFonts w:asciiTheme="minorEastAsia" w:eastAsiaTheme="minorEastAsia" w:hAnsiTheme="minorEastAsia" w:hint="eastAsia"/>
          <w:sz w:val="21"/>
          <w:szCs w:val="21"/>
        </w:rPr>
        <w:t>1个主要园林建筑单体设计（如廊架、景墙、亭等组合），含平面、正立面、侧立面</w:t>
      </w:r>
      <w:bookmarkStart w:id="1" w:name="_GoBack"/>
      <w:bookmarkEnd w:id="1"/>
      <w:r>
        <w:rPr>
          <w:rFonts w:asciiTheme="minorEastAsia" w:eastAsiaTheme="minorEastAsia" w:hAnsiTheme="minorEastAsia" w:hint="eastAsia"/>
          <w:sz w:val="21"/>
          <w:szCs w:val="21"/>
        </w:rPr>
        <w:t>（20%）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</w:t>
      </w:r>
      <w:r>
        <w:rPr>
          <w:rFonts w:asciiTheme="minorEastAsia" w:eastAsiaTheme="minorEastAsia" w:hAnsiTheme="minorEastAsia" w:hint="eastAsia"/>
          <w:sz w:val="21"/>
          <w:szCs w:val="21"/>
        </w:rPr>
        <w:t>各类分析图，数量不限，如功能分区、景观结构、交通分析、竖向分析等（10%）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•主要</w:t>
      </w:r>
      <w:r>
        <w:rPr>
          <w:rFonts w:asciiTheme="minorEastAsia" w:eastAsiaTheme="minorEastAsia" w:hAnsiTheme="minorEastAsia" w:hint="eastAsia"/>
          <w:sz w:val="21"/>
          <w:szCs w:val="21"/>
        </w:rPr>
        <w:t>景观节点</w:t>
      </w:r>
      <w:r>
        <w:rPr>
          <w:rFonts w:asciiTheme="minorEastAsia" w:eastAsiaTheme="minorEastAsia" w:hAnsiTheme="minorEastAsia"/>
          <w:sz w:val="21"/>
          <w:szCs w:val="21"/>
        </w:rPr>
        <w:t>透视图（2个）（</w:t>
      </w:r>
      <w:r>
        <w:rPr>
          <w:rFonts w:asciiTheme="minorEastAsia" w:eastAsiaTheme="minorEastAsia" w:hAnsiTheme="minorEastAsia" w:hint="eastAsia"/>
          <w:sz w:val="21"/>
          <w:szCs w:val="21"/>
        </w:rPr>
        <w:t>15</w:t>
      </w:r>
      <w:r>
        <w:rPr>
          <w:rFonts w:asciiTheme="minorEastAsia" w:eastAsiaTheme="minorEastAsia" w:hAnsiTheme="minorEastAsia"/>
          <w:sz w:val="21"/>
          <w:szCs w:val="21"/>
        </w:rPr>
        <w:t>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•景观设计说明（简述，300字左右）（10%）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•图面表现：钢笔线条+马克笔、彩铅快速表现（</w:t>
      </w:r>
      <w:r>
        <w:rPr>
          <w:rFonts w:asciiTheme="minorEastAsia" w:eastAsiaTheme="minorEastAsia" w:hAnsiTheme="minorEastAsia" w:hint="eastAsia"/>
          <w:sz w:val="21"/>
          <w:szCs w:val="21"/>
        </w:rPr>
        <w:t>15</w:t>
      </w:r>
      <w:r>
        <w:rPr>
          <w:rFonts w:asciiTheme="minorEastAsia" w:eastAsiaTheme="minorEastAsia" w:hAnsiTheme="minorEastAsia"/>
          <w:sz w:val="21"/>
          <w:szCs w:val="21"/>
        </w:rPr>
        <w:t>%）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四、试题类型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以中小型公共绿地为宜，</w:t>
      </w:r>
      <w:r>
        <w:rPr>
          <w:rFonts w:asciiTheme="minorEastAsia" w:eastAsiaTheme="minorEastAsia" w:hAnsiTheme="minorEastAsia" w:hint="eastAsia"/>
          <w:sz w:val="21"/>
          <w:szCs w:val="21"/>
        </w:rPr>
        <w:t>范围约0.5~1.5公顷</w:t>
      </w:r>
      <w:r>
        <w:rPr>
          <w:rFonts w:asciiTheme="minorEastAsia" w:eastAsiaTheme="minorEastAsia" w:hAnsiTheme="minorEastAsia"/>
          <w:sz w:val="21"/>
          <w:szCs w:val="21"/>
        </w:rPr>
        <w:t>。（参考类型：街头小游园、居住区中心游园、校园绿地、公共建筑外部环境等）。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五、考试方法及考试时长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考试方法：闭卷、笔试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记分方式：百分制，满分为100分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考试时间：</w:t>
      </w:r>
      <w:r w:rsidRPr="0017591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4小时，</w:t>
      </w:r>
      <w:r w:rsidRPr="00175918">
        <w:rPr>
          <w:rFonts w:asciiTheme="minorEastAsia" w:eastAsiaTheme="minorEastAsia" w:hAnsiTheme="minorEastAsia"/>
          <w:color w:val="000000" w:themeColor="text1"/>
          <w:sz w:val="21"/>
          <w:szCs w:val="21"/>
        </w:rPr>
        <w:t>完</w:t>
      </w:r>
      <w:r>
        <w:rPr>
          <w:rFonts w:asciiTheme="minorEastAsia" w:eastAsiaTheme="minorEastAsia" w:hAnsiTheme="minorEastAsia"/>
          <w:sz w:val="21"/>
          <w:szCs w:val="21"/>
        </w:rPr>
        <w:t>成构思、设计、图纸表达等工作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4. 图纸要求：1张A2图纸</w:t>
      </w:r>
    </w:p>
    <w:p w:rsidR="00765BEC" w:rsidRDefault="00765BEC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六、成绩评定方式及比例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1．准确地理解设计任务； 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2. 正确地处理好设计场地与周边用地性质的关系；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3. 合理地进行功能安排与空间结构设计； 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4. 运用有关园林景观设计的理论与方法，合理进行用地与空间布局； 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5. 能较好地表现园林景观设计方案，绘图基本功扎实。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七、主要参考资料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高等院校环境艺术设计专业规划教材，作者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  <w:r>
        <w:rPr>
          <w:rFonts w:asciiTheme="minorEastAsia" w:eastAsiaTheme="minorEastAsia" w:hAnsiTheme="minorEastAsia"/>
          <w:sz w:val="21"/>
          <w:szCs w:val="21"/>
        </w:rPr>
        <w:t>韦爽真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/>
          <w:sz w:val="21"/>
          <w:szCs w:val="21"/>
        </w:rPr>
        <w:t>编著的《园林景观快题设计》，建筑工业出版社，2008年8月</w:t>
      </w:r>
    </w:p>
    <w:p w:rsidR="00765BEC" w:rsidRDefault="00765BEC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</w:p>
    <w:p w:rsidR="00765BEC" w:rsidRDefault="00D657F4">
      <w:pPr>
        <w:ind w:firstLineChars="0" w:firstLine="0"/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2" w:name="_Toc511033779"/>
      <w:r>
        <w:rPr>
          <w:rFonts w:ascii="黑体" w:eastAsia="黑体" w:hAnsi="黑体" w:hint="eastAsia"/>
          <w:sz w:val="36"/>
          <w:szCs w:val="36"/>
          <w:u w:val="single"/>
        </w:rPr>
        <w:t>《景观设计原理》考试大纲</w:t>
      </w:r>
      <w:bookmarkEnd w:id="2"/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765BEC">
        <w:trPr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 w:rsidR="00765BEC" w:rsidRDefault="00D657F4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eastAsia="仿宋" w:hint="eastAsia"/>
                <w:szCs w:val="21"/>
              </w:rPr>
              <w:t>景观设计原理</w:t>
            </w:r>
          </w:p>
        </w:tc>
        <w:tc>
          <w:tcPr>
            <w:tcW w:w="98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 w:rsidR="00765BEC" w:rsidRDefault="00765BEC"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765BEC">
            <w:pPr>
              <w:adjustRightInd w:val="0"/>
              <w:snapToGrid w:val="0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D657F4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风景园林、建筑学、城乡规划专业专升本学生</w:t>
            </w: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 w:rsidR="00765BEC" w:rsidRDefault="00765BEC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 w:rsidR="00765BEC">
        <w:trPr>
          <w:cantSplit/>
          <w:trHeight w:val="435"/>
        </w:trPr>
        <w:tc>
          <w:tcPr>
            <w:tcW w:w="1276" w:type="dxa"/>
            <w:vAlign w:val="center"/>
          </w:tcPr>
          <w:p w:rsidR="00765BEC" w:rsidRDefault="00D657F4">
            <w:pPr>
              <w:adjustRightInd w:val="0"/>
              <w:snapToGrid w:val="0"/>
              <w:ind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总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学</w:t>
            </w:r>
            <w:r>
              <w:rPr>
                <w:rFonts w:eastAsia="仿宋"/>
                <w:b/>
              </w:rPr>
              <w:t xml:space="preserve"> </w:t>
            </w:r>
            <w:r>
              <w:rPr>
                <w:rFonts w:eastAsia="仿宋"/>
                <w:b/>
              </w:rPr>
              <w:t>时</w:t>
            </w:r>
          </w:p>
        </w:tc>
        <w:tc>
          <w:tcPr>
            <w:tcW w:w="716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 w:rsidR="00765BEC" w:rsidRDefault="00D657F4">
            <w:pPr>
              <w:adjustRightInd w:val="0"/>
              <w:snapToGrid w:val="0"/>
              <w:ind w:leftChars="-59" w:left="-142" w:rightChars="-51" w:right="-122" w:firstLineChars="0" w:firstLine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 w:rsidR="00765BEC" w:rsidRDefault="00765BEC">
            <w:pPr>
              <w:adjustRightInd w:val="0"/>
              <w:snapToGrid w:val="0"/>
              <w:ind w:leftChars="-59" w:left="-142" w:rightChars="-51" w:right="-122" w:firstLine="482"/>
              <w:jc w:val="center"/>
              <w:rPr>
                <w:rFonts w:eastAsia="仿宋"/>
                <w:b/>
              </w:rPr>
            </w:pPr>
          </w:p>
        </w:tc>
      </w:tr>
    </w:tbl>
    <w:p w:rsidR="00765BEC" w:rsidRDefault="00765BEC">
      <w:pPr>
        <w:spacing w:beforeLines="25" w:before="78" w:afterLines="25" w:after="78" w:line="240" w:lineRule="auto"/>
        <w:ind w:firstLine="482"/>
        <w:rPr>
          <w:rFonts w:eastAsia="黑体"/>
          <w:b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一、考试目的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本课程考试主要考查学生对景观</w:t>
      </w:r>
      <w:r>
        <w:rPr>
          <w:rFonts w:asciiTheme="minorEastAsia" w:eastAsiaTheme="minorEastAsia" w:hAnsiTheme="minorEastAsia" w:hint="eastAsia"/>
          <w:sz w:val="21"/>
          <w:szCs w:val="21"/>
        </w:rPr>
        <w:t>、建筑</w:t>
      </w:r>
      <w:r>
        <w:rPr>
          <w:rFonts w:asciiTheme="minorEastAsia" w:eastAsiaTheme="minorEastAsia" w:hAnsiTheme="minorEastAsia"/>
          <w:sz w:val="21"/>
          <w:szCs w:val="21"/>
        </w:rPr>
        <w:t>设计</w:t>
      </w:r>
      <w:r>
        <w:rPr>
          <w:rFonts w:asciiTheme="minorEastAsia" w:eastAsiaTheme="minorEastAsia" w:hAnsiTheme="minorEastAsia" w:hint="eastAsia"/>
          <w:sz w:val="21"/>
          <w:szCs w:val="21"/>
        </w:rPr>
        <w:t>基础</w:t>
      </w:r>
      <w:r>
        <w:rPr>
          <w:rFonts w:asciiTheme="minorEastAsia" w:eastAsiaTheme="minorEastAsia" w:hAnsiTheme="minorEastAsia"/>
          <w:sz w:val="21"/>
          <w:szCs w:val="21"/>
        </w:rPr>
        <w:t>知识的掌握能力。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二、基本要求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全面考查学生对本课程科目要求的基本概念、基本原理和主要知识点学习、理解和掌握的情况</w:t>
      </w:r>
      <w:r>
        <w:rPr>
          <w:rFonts w:asciiTheme="minorEastAsia" w:eastAsiaTheme="minorEastAsia" w:hAnsiTheme="minorEastAsia" w:hint="eastAsia"/>
          <w:sz w:val="21"/>
          <w:szCs w:val="21"/>
        </w:rPr>
        <w:t>，考查学生是否能运用基本知识和基本原理进行实践应用</w:t>
      </w:r>
      <w:r>
        <w:rPr>
          <w:rFonts w:asciiTheme="minorEastAsia" w:eastAsiaTheme="minorEastAsia" w:hAnsiTheme="minorEastAsia"/>
          <w:sz w:val="21"/>
          <w:szCs w:val="21"/>
        </w:rPr>
        <w:t>。题目数量多、范围广，最基本的知识占50％左右，难度中等的的题目占35％左右，较难的综合性题目占15％左右。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三、考试内容及分值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考试内容：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第一部分  园林设计基础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占</w:t>
      </w:r>
      <w:r>
        <w:rPr>
          <w:rFonts w:asciiTheme="minorEastAsia" w:eastAsiaTheme="minorEastAsia" w:hAnsiTheme="minorEastAsia" w:hint="eastAsia"/>
          <w:sz w:val="21"/>
          <w:szCs w:val="21"/>
        </w:rPr>
        <w:t>15</w:t>
      </w:r>
      <w:r>
        <w:rPr>
          <w:rFonts w:asciiTheme="minorEastAsia" w:eastAsiaTheme="minorEastAsia" w:hAnsiTheme="minor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园林基本构成要素及其特点；园林布局基本形式；园林设计构成及形式美规律、园林设计方法与运用；园林设计制图。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第</w:t>
      </w:r>
      <w:r>
        <w:rPr>
          <w:rFonts w:asciiTheme="minorEastAsia" w:eastAsiaTheme="minorEastAsia" w:hAnsiTheme="minorEastAsia" w:hint="eastAsia"/>
          <w:sz w:val="21"/>
          <w:szCs w:val="21"/>
        </w:rPr>
        <w:t>二</w:t>
      </w:r>
      <w:r>
        <w:rPr>
          <w:rFonts w:asciiTheme="minorEastAsia" w:eastAsiaTheme="minorEastAsia" w:hAnsiTheme="minorEastAsia"/>
          <w:sz w:val="21"/>
          <w:szCs w:val="21"/>
        </w:rPr>
        <w:t xml:space="preserve">部分  </w:t>
      </w:r>
      <w:r>
        <w:rPr>
          <w:rFonts w:asciiTheme="minorEastAsia" w:eastAsiaTheme="minorEastAsia" w:hAnsiTheme="minorEastAsia" w:hint="eastAsia"/>
          <w:sz w:val="21"/>
          <w:szCs w:val="21"/>
        </w:rPr>
        <w:t>城市园林绿地规划（</w:t>
      </w:r>
      <w:r>
        <w:rPr>
          <w:rFonts w:asciiTheme="minorEastAsia" w:eastAsiaTheme="minorEastAsia" w:hAnsiTheme="minorEastAsia"/>
          <w:sz w:val="21"/>
          <w:szCs w:val="21"/>
        </w:rPr>
        <w:t>占</w:t>
      </w:r>
      <w:r>
        <w:rPr>
          <w:rFonts w:asciiTheme="minorEastAsia" w:eastAsiaTheme="minorEastAsia" w:hAnsiTheme="minorEastAsia" w:hint="eastAsia"/>
          <w:sz w:val="21"/>
          <w:szCs w:val="21"/>
        </w:rPr>
        <w:t>25</w:t>
      </w:r>
      <w:r>
        <w:rPr>
          <w:rFonts w:asciiTheme="minorEastAsia" w:eastAsiaTheme="minorEastAsia" w:hAnsiTheme="minor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城市绿地分类标准</w:t>
      </w:r>
      <w:r>
        <w:rPr>
          <w:rFonts w:asciiTheme="minorEastAsia" w:eastAsiaTheme="minorEastAsia" w:hAnsiTheme="minorEastAsia"/>
          <w:sz w:val="21"/>
          <w:szCs w:val="21"/>
        </w:rPr>
        <w:t>CJJT 85-2017</w:t>
      </w:r>
      <w:r>
        <w:rPr>
          <w:rFonts w:asciiTheme="minorEastAsia" w:eastAsiaTheme="minorEastAsia" w:hAnsiTheme="minorEastAsia" w:hint="eastAsia"/>
          <w:sz w:val="21"/>
          <w:szCs w:val="21"/>
        </w:rPr>
        <w:t>、公园设计规范</w:t>
      </w:r>
      <w:r>
        <w:rPr>
          <w:rFonts w:asciiTheme="minorEastAsia" w:eastAsiaTheme="minorEastAsia" w:hAnsiTheme="minorEastAsia"/>
          <w:sz w:val="21"/>
          <w:szCs w:val="21"/>
        </w:rPr>
        <w:t>GB 51192-2016</w:t>
      </w:r>
      <w:r>
        <w:rPr>
          <w:rFonts w:asciiTheme="minorEastAsia" w:eastAsiaTheme="minorEastAsia" w:hAnsiTheme="minorEastAsia" w:hint="eastAsia"/>
          <w:sz w:val="21"/>
          <w:szCs w:val="21"/>
        </w:rPr>
        <w:t>、城市绿地规划标准GBT 51346-2019</w:t>
      </w:r>
      <w:r>
        <w:rPr>
          <w:rFonts w:asciiTheme="minorEastAsia" w:eastAsiaTheme="minorEastAsia" w:hAnsiTheme="minorEastAsia"/>
          <w:sz w:val="21"/>
          <w:szCs w:val="21"/>
        </w:rPr>
        <w:t>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第三部分 建筑设计原理（20%）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建筑空间的三大组成部分、建筑功能空间的核心、交通组织方式及交通枢纽的作用、建筑单一功能空间规定性的特点、建筑多空间组合方式及其适用范围、建筑构图的基本原理、建筑立面的处理手法、建筑空间序列组织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第</w:t>
      </w:r>
      <w:r>
        <w:rPr>
          <w:rFonts w:asciiTheme="minorEastAsia" w:eastAsiaTheme="minorEastAsia" w:hAnsiTheme="minorEastAsia" w:hint="eastAsia"/>
          <w:sz w:val="21"/>
          <w:szCs w:val="21"/>
        </w:rPr>
        <w:t>四</w:t>
      </w:r>
      <w:r>
        <w:rPr>
          <w:rFonts w:asciiTheme="minorEastAsia" w:eastAsiaTheme="minorEastAsia" w:hAnsiTheme="minorEastAsia"/>
          <w:sz w:val="21"/>
          <w:szCs w:val="21"/>
        </w:rPr>
        <w:t>部分  园林工程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占</w:t>
      </w:r>
      <w:r>
        <w:rPr>
          <w:rFonts w:asciiTheme="minorEastAsia" w:eastAsiaTheme="minorEastAsia" w:hAnsiTheme="minorEastAsia" w:hint="eastAsia"/>
          <w:sz w:val="21"/>
          <w:szCs w:val="21"/>
        </w:rPr>
        <w:t>20</w:t>
      </w:r>
      <w:r>
        <w:rPr>
          <w:rFonts w:asciiTheme="minorEastAsia" w:eastAsiaTheme="minorEastAsia" w:hAnsiTheme="minor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园林工程基础；园林假山施工；园林水景施工；园林铺装施工；园林绿化工程施工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第</w:t>
      </w:r>
      <w:r>
        <w:rPr>
          <w:rFonts w:asciiTheme="minorEastAsia" w:eastAsiaTheme="minorEastAsia" w:hAnsiTheme="minorEastAsia" w:hint="eastAsia"/>
          <w:sz w:val="21"/>
          <w:szCs w:val="21"/>
        </w:rPr>
        <w:t>五</w:t>
      </w:r>
      <w:r>
        <w:rPr>
          <w:rFonts w:asciiTheme="minorEastAsia" w:eastAsiaTheme="minorEastAsia" w:hAnsiTheme="minorEastAsia"/>
          <w:sz w:val="21"/>
          <w:szCs w:val="21"/>
        </w:rPr>
        <w:t>部分  中外园林史</w:t>
      </w: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占</w:t>
      </w:r>
      <w:r>
        <w:rPr>
          <w:rFonts w:asciiTheme="minorEastAsia" w:eastAsiaTheme="minorEastAsia" w:hAnsiTheme="minorEastAsia" w:hint="eastAsia"/>
          <w:sz w:val="21"/>
          <w:szCs w:val="21"/>
        </w:rPr>
        <w:t>20</w:t>
      </w:r>
      <w:r>
        <w:rPr>
          <w:rFonts w:asciiTheme="minorEastAsia" w:eastAsiaTheme="minorEastAsia" w:hAnsiTheme="minorEastAsia"/>
          <w:sz w:val="21"/>
          <w:szCs w:val="21"/>
        </w:rPr>
        <w:t>％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中国古典园林史、外国园林史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记分方式：百分制，满分为100分。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四、试题类型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/>
          <w:sz w:val="21"/>
          <w:szCs w:val="21"/>
        </w:rPr>
        <w:t>填空题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/>
          <w:sz w:val="21"/>
          <w:szCs w:val="21"/>
        </w:rPr>
        <w:t>选择题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/>
          <w:sz w:val="21"/>
          <w:szCs w:val="21"/>
        </w:rPr>
        <w:t>解答题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/>
          <w:sz w:val="21"/>
          <w:szCs w:val="21"/>
        </w:rPr>
        <w:t>论述题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五、考试方法及考试</w:t>
      </w:r>
      <w:r>
        <w:rPr>
          <w:rFonts w:ascii="黑体" w:eastAsia="黑体" w:hAnsi="黑体" w:hint="eastAsia"/>
          <w:bCs/>
        </w:rPr>
        <w:t>时间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lastRenderedPageBreak/>
        <w:t>1.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考试方法：闭卷、笔试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2.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记分方式：百分制，满分为100分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考试时间：</w:t>
      </w:r>
      <w:r>
        <w:rPr>
          <w:rFonts w:asciiTheme="minorEastAsia" w:eastAsiaTheme="minorEastAsia" w:hAnsiTheme="minorEastAsia" w:hint="eastAsia"/>
          <w:sz w:val="21"/>
          <w:szCs w:val="21"/>
        </w:rPr>
        <w:t>120分钟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六、成绩评定方式及比例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成绩评定为试卷考试评定的方式，考试成绩占比100%。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</w:p>
    <w:p w:rsidR="00765BEC" w:rsidRDefault="00D657F4">
      <w:pPr>
        <w:adjustRightInd w:val="0"/>
        <w:snapToGrid w:val="0"/>
        <w:spacing w:line="240" w:lineRule="auto"/>
        <w:ind w:firstLine="480"/>
        <w:rPr>
          <w:rFonts w:ascii="黑体" w:eastAsia="黑体" w:hAnsi="黑体"/>
          <w:bCs/>
        </w:rPr>
      </w:pPr>
      <w:r>
        <w:rPr>
          <w:rFonts w:ascii="黑体" w:eastAsia="黑体" w:hAnsi="黑体"/>
          <w:bCs/>
        </w:rPr>
        <w:t>七、主要参考资料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. </w:t>
      </w:r>
      <w:r>
        <w:rPr>
          <w:rFonts w:asciiTheme="minorEastAsia" w:eastAsiaTheme="minorEastAsia" w:hAnsiTheme="minorEastAsia"/>
          <w:sz w:val="21"/>
          <w:szCs w:val="21"/>
        </w:rPr>
        <w:t>《园林规划设计》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/>
          <w:sz w:val="21"/>
          <w:szCs w:val="21"/>
        </w:rPr>
        <w:t>清华大学出版社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/>
          <w:sz w:val="21"/>
          <w:szCs w:val="21"/>
        </w:rPr>
        <w:t>徐静凤</w:t>
      </w:r>
      <w:r>
        <w:rPr>
          <w:rFonts w:asciiTheme="minorEastAsia" w:eastAsiaTheme="minorEastAsia" w:hAnsiTheme="minorEastAsia" w:hint="eastAsia"/>
          <w:sz w:val="21"/>
          <w:szCs w:val="21"/>
        </w:rPr>
        <w:t>编，</w:t>
      </w:r>
      <w:r>
        <w:rPr>
          <w:rFonts w:asciiTheme="minorEastAsia" w:eastAsiaTheme="minorEastAsia" w:hAnsiTheme="minorEastAsia"/>
          <w:sz w:val="21"/>
          <w:szCs w:val="21"/>
        </w:rPr>
        <w:t xml:space="preserve">21世纪高职高专建筑设计类实用规划教材  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2. </w:t>
      </w:r>
      <w:r>
        <w:rPr>
          <w:rFonts w:asciiTheme="minorEastAsia" w:eastAsiaTheme="minorEastAsia" w:hAnsiTheme="minorEastAsia"/>
          <w:sz w:val="21"/>
          <w:szCs w:val="21"/>
        </w:rPr>
        <w:t>《风景园林艺术原理》，天津大学出版社，曾艳编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3. </w:t>
      </w:r>
      <w:r>
        <w:rPr>
          <w:rFonts w:asciiTheme="minorEastAsia" w:eastAsiaTheme="minorEastAsia" w:hAnsiTheme="minorEastAsia"/>
          <w:sz w:val="21"/>
          <w:szCs w:val="21"/>
        </w:rPr>
        <w:t>《建筑设计原理》，</w:t>
      </w:r>
      <w:r>
        <w:rPr>
          <w:rFonts w:asciiTheme="minorEastAsia" w:eastAsiaTheme="minorEastAsia" w:hAnsiTheme="minorEastAsia" w:hint="eastAsia"/>
          <w:sz w:val="21"/>
          <w:szCs w:val="21"/>
        </w:rPr>
        <w:t>华中科技大学出版社</w:t>
      </w:r>
      <w:r>
        <w:rPr>
          <w:rFonts w:asciiTheme="minorEastAsia" w:eastAsiaTheme="minorEastAsia" w:hAnsiTheme="minor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董莉莉编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4. </w:t>
      </w:r>
      <w:r>
        <w:rPr>
          <w:rFonts w:asciiTheme="minorEastAsia" w:eastAsiaTheme="minorEastAsia" w:hAnsiTheme="minorEastAsia"/>
          <w:sz w:val="21"/>
          <w:szCs w:val="21"/>
        </w:rPr>
        <w:t>《风景园林工程》，中国</w:t>
      </w:r>
      <w:r>
        <w:rPr>
          <w:rFonts w:asciiTheme="minorEastAsia" w:eastAsiaTheme="minorEastAsia" w:hAnsiTheme="minorEastAsia" w:hint="eastAsia"/>
          <w:sz w:val="21"/>
          <w:szCs w:val="21"/>
        </w:rPr>
        <w:t>林</w:t>
      </w:r>
      <w:r>
        <w:rPr>
          <w:rFonts w:asciiTheme="minorEastAsia" w:eastAsiaTheme="minorEastAsia" w:hAnsiTheme="minorEastAsia"/>
          <w:sz w:val="21"/>
          <w:szCs w:val="21"/>
        </w:rPr>
        <w:t>业出版社，</w:t>
      </w:r>
      <w:r>
        <w:rPr>
          <w:rFonts w:asciiTheme="minorEastAsia" w:eastAsiaTheme="minorEastAsia" w:hAnsiTheme="minorEastAsia" w:hint="eastAsia"/>
          <w:sz w:val="21"/>
          <w:szCs w:val="21"/>
        </w:rPr>
        <w:t>孟</w:t>
      </w:r>
      <w:r>
        <w:rPr>
          <w:rFonts w:asciiTheme="minorEastAsia" w:eastAsiaTheme="minorEastAsia" w:hAnsiTheme="minorEastAsia"/>
          <w:sz w:val="21"/>
          <w:szCs w:val="21"/>
        </w:rPr>
        <w:t>兆祯编，十一五国家级规划教材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5. </w:t>
      </w:r>
      <w:r>
        <w:rPr>
          <w:rFonts w:asciiTheme="minorEastAsia" w:eastAsiaTheme="minorEastAsia" w:hAnsiTheme="minorEastAsia"/>
          <w:sz w:val="21"/>
          <w:szCs w:val="21"/>
        </w:rPr>
        <w:t>《中外园林史》，中国建材工业出版社，郭风平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6. 城市绿地分类标准</w:t>
      </w:r>
      <w:r>
        <w:rPr>
          <w:rFonts w:asciiTheme="minorEastAsia" w:eastAsiaTheme="minorEastAsia" w:hAnsiTheme="minorEastAsia"/>
          <w:sz w:val="21"/>
          <w:szCs w:val="21"/>
        </w:rPr>
        <w:t>CJJT 85-2017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7.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公园设计规范</w:t>
      </w:r>
      <w:r>
        <w:rPr>
          <w:rFonts w:asciiTheme="minorEastAsia" w:eastAsiaTheme="minorEastAsia" w:hAnsiTheme="minorEastAsia"/>
          <w:sz w:val="21"/>
          <w:szCs w:val="21"/>
        </w:rPr>
        <w:t>GB 51192-2016</w:t>
      </w:r>
    </w:p>
    <w:p w:rsidR="00765BEC" w:rsidRDefault="00D657F4">
      <w:pPr>
        <w:adjustRightInd w:val="0"/>
        <w:snapToGrid w:val="0"/>
        <w:spacing w:line="24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8.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城市绿地规划标准GBT 51346-2019</w:t>
      </w:r>
      <w:r>
        <w:rPr>
          <w:rFonts w:asciiTheme="minorEastAsia" w:eastAsiaTheme="minorEastAsia" w:hAnsiTheme="minorEastAsia"/>
          <w:sz w:val="21"/>
          <w:szCs w:val="21"/>
        </w:rPr>
        <w:t>。</w:t>
      </w:r>
    </w:p>
    <w:p w:rsidR="00765BEC" w:rsidRDefault="00765BEC">
      <w:pPr>
        <w:adjustRightInd w:val="0"/>
        <w:snapToGrid w:val="0"/>
        <w:spacing w:line="240" w:lineRule="auto"/>
        <w:ind w:firstLine="480"/>
        <w:rPr>
          <w:rFonts w:ascii="宋体" w:hAnsi="宋体"/>
          <w:bCs/>
          <w:szCs w:val="21"/>
        </w:rPr>
      </w:pPr>
    </w:p>
    <w:p w:rsidR="00765BEC" w:rsidRDefault="00765BEC">
      <w:pPr>
        <w:widowControl/>
        <w:spacing w:line="240" w:lineRule="auto"/>
        <w:ind w:firstLineChars="0" w:firstLine="0"/>
        <w:jc w:val="left"/>
        <w:rPr>
          <w:rFonts w:eastAsia="仿宋" w:hAnsi="仿宋"/>
        </w:rPr>
      </w:pPr>
    </w:p>
    <w:sectPr w:rsidR="00765BE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27C" w:rsidRDefault="0061027C">
      <w:pPr>
        <w:spacing w:line="240" w:lineRule="auto"/>
        <w:ind w:firstLine="480"/>
      </w:pPr>
      <w:r>
        <w:separator/>
      </w:r>
    </w:p>
  </w:endnote>
  <w:endnote w:type="continuationSeparator" w:id="0">
    <w:p w:rsidR="0061027C" w:rsidRDefault="0061027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74315"/>
    </w:sdtPr>
    <w:sdtEndPr/>
    <w:sdtContent>
      <w:p w:rsidR="00765BEC" w:rsidRDefault="00D657F4">
        <w:pPr>
          <w:pStyle w:val="a8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18" w:rsidRPr="00175918">
          <w:rPr>
            <w:noProof/>
            <w:lang w:val="zh-CN"/>
          </w:rPr>
          <w:t>2</w:t>
        </w:r>
        <w:r>
          <w:fldChar w:fldCharType="end"/>
        </w:r>
      </w:p>
    </w:sdtContent>
  </w:sdt>
  <w:p w:rsidR="00765BEC" w:rsidRDefault="00765BEC">
    <w:pPr>
      <w:pStyle w:val="a8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BEC" w:rsidRDefault="00D657F4">
    <w:pPr>
      <w:pStyle w:val="a8"/>
      <w:ind w:firstLine="360"/>
      <w:jc w:val="center"/>
    </w:pPr>
    <w:r>
      <w:fldChar w:fldCharType="begin"/>
    </w:r>
    <w:r>
      <w:instrText>PAGE   \* MERGEFORMAT</w:instrText>
    </w:r>
    <w:r>
      <w:fldChar w:fldCharType="separate"/>
    </w:r>
    <w:r w:rsidR="00175918" w:rsidRPr="00175918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27C" w:rsidRDefault="0061027C">
      <w:pPr>
        <w:spacing w:line="240" w:lineRule="auto"/>
        <w:ind w:firstLine="480"/>
      </w:pPr>
      <w:r>
        <w:separator/>
      </w:r>
    </w:p>
  </w:footnote>
  <w:footnote w:type="continuationSeparator" w:id="0">
    <w:p w:rsidR="0061027C" w:rsidRDefault="0061027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BEC" w:rsidRDefault="00765BEC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BEC" w:rsidRDefault="00765BEC">
    <w:pPr>
      <w:pStyle w:val="aa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A7B9D"/>
    <w:rsid w:val="000724DF"/>
    <w:rsid w:val="00074262"/>
    <w:rsid w:val="000906C5"/>
    <w:rsid w:val="000B294D"/>
    <w:rsid w:val="00132FF4"/>
    <w:rsid w:val="00175918"/>
    <w:rsid w:val="001D32EF"/>
    <w:rsid w:val="00216186"/>
    <w:rsid w:val="00216959"/>
    <w:rsid w:val="0022780C"/>
    <w:rsid w:val="00301B92"/>
    <w:rsid w:val="0034337D"/>
    <w:rsid w:val="00372D63"/>
    <w:rsid w:val="003D4397"/>
    <w:rsid w:val="00402149"/>
    <w:rsid w:val="00473A41"/>
    <w:rsid w:val="00534F18"/>
    <w:rsid w:val="005427F7"/>
    <w:rsid w:val="0058311A"/>
    <w:rsid w:val="005B7C59"/>
    <w:rsid w:val="005C1899"/>
    <w:rsid w:val="005D6060"/>
    <w:rsid w:val="005F63B3"/>
    <w:rsid w:val="0061027C"/>
    <w:rsid w:val="006434E2"/>
    <w:rsid w:val="00660A92"/>
    <w:rsid w:val="006940F1"/>
    <w:rsid w:val="00726C90"/>
    <w:rsid w:val="00765BEC"/>
    <w:rsid w:val="00773743"/>
    <w:rsid w:val="007863B5"/>
    <w:rsid w:val="007D6951"/>
    <w:rsid w:val="007E4D1D"/>
    <w:rsid w:val="00812781"/>
    <w:rsid w:val="00823A72"/>
    <w:rsid w:val="00873C74"/>
    <w:rsid w:val="009C427C"/>
    <w:rsid w:val="00A11185"/>
    <w:rsid w:val="00A16495"/>
    <w:rsid w:val="00A637CC"/>
    <w:rsid w:val="00AA7F9C"/>
    <w:rsid w:val="00AE164F"/>
    <w:rsid w:val="00D5193C"/>
    <w:rsid w:val="00D52C9C"/>
    <w:rsid w:val="00D63DB7"/>
    <w:rsid w:val="00D657F4"/>
    <w:rsid w:val="00D85E6D"/>
    <w:rsid w:val="00E54971"/>
    <w:rsid w:val="00EB349A"/>
    <w:rsid w:val="00EF2E18"/>
    <w:rsid w:val="00F06D0A"/>
    <w:rsid w:val="00F34CED"/>
    <w:rsid w:val="021306A7"/>
    <w:rsid w:val="026B09EC"/>
    <w:rsid w:val="040D5531"/>
    <w:rsid w:val="04D112DC"/>
    <w:rsid w:val="05707728"/>
    <w:rsid w:val="05E55BDC"/>
    <w:rsid w:val="06656AC6"/>
    <w:rsid w:val="06B30626"/>
    <w:rsid w:val="073B068A"/>
    <w:rsid w:val="07607F1E"/>
    <w:rsid w:val="07950E3F"/>
    <w:rsid w:val="07D20CDB"/>
    <w:rsid w:val="085469CB"/>
    <w:rsid w:val="09B155F6"/>
    <w:rsid w:val="0A592350"/>
    <w:rsid w:val="0B646A76"/>
    <w:rsid w:val="0BB47105"/>
    <w:rsid w:val="0C597285"/>
    <w:rsid w:val="0D8106B7"/>
    <w:rsid w:val="0E4966E3"/>
    <w:rsid w:val="0E9F5781"/>
    <w:rsid w:val="0F940C84"/>
    <w:rsid w:val="100261BA"/>
    <w:rsid w:val="108102BD"/>
    <w:rsid w:val="109E6552"/>
    <w:rsid w:val="10FD0FB0"/>
    <w:rsid w:val="12DE3FC6"/>
    <w:rsid w:val="12FF0F64"/>
    <w:rsid w:val="13C81417"/>
    <w:rsid w:val="13F4351D"/>
    <w:rsid w:val="1426733F"/>
    <w:rsid w:val="162072A9"/>
    <w:rsid w:val="16745132"/>
    <w:rsid w:val="17A51ED9"/>
    <w:rsid w:val="17D86B7D"/>
    <w:rsid w:val="18865D87"/>
    <w:rsid w:val="18D01CB2"/>
    <w:rsid w:val="1A991708"/>
    <w:rsid w:val="1ABC36AF"/>
    <w:rsid w:val="1BC82A09"/>
    <w:rsid w:val="1BE60A35"/>
    <w:rsid w:val="1C032025"/>
    <w:rsid w:val="1CCF338D"/>
    <w:rsid w:val="1E016B59"/>
    <w:rsid w:val="1EE57788"/>
    <w:rsid w:val="1F3A47EE"/>
    <w:rsid w:val="1FED0F01"/>
    <w:rsid w:val="20173C90"/>
    <w:rsid w:val="20726B21"/>
    <w:rsid w:val="236E7E74"/>
    <w:rsid w:val="24C20E9D"/>
    <w:rsid w:val="25581357"/>
    <w:rsid w:val="25AB16B2"/>
    <w:rsid w:val="25EC5C96"/>
    <w:rsid w:val="26B6543B"/>
    <w:rsid w:val="26D5309B"/>
    <w:rsid w:val="2744696D"/>
    <w:rsid w:val="28A1213E"/>
    <w:rsid w:val="28B63886"/>
    <w:rsid w:val="2992340A"/>
    <w:rsid w:val="2A9344AA"/>
    <w:rsid w:val="2B8878DE"/>
    <w:rsid w:val="2BE7678D"/>
    <w:rsid w:val="2CA24A89"/>
    <w:rsid w:val="2E4B03FD"/>
    <w:rsid w:val="2F951B8C"/>
    <w:rsid w:val="311F4377"/>
    <w:rsid w:val="31A72D35"/>
    <w:rsid w:val="31C0235B"/>
    <w:rsid w:val="328C7674"/>
    <w:rsid w:val="330E3468"/>
    <w:rsid w:val="337A55D7"/>
    <w:rsid w:val="33A819D0"/>
    <w:rsid w:val="34DD2A9A"/>
    <w:rsid w:val="359871BB"/>
    <w:rsid w:val="37D517E3"/>
    <w:rsid w:val="3810781C"/>
    <w:rsid w:val="38261BED"/>
    <w:rsid w:val="38D9290E"/>
    <w:rsid w:val="39735DC5"/>
    <w:rsid w:val="3B7A039F"/>
    <w:rsid w:val="3B8E1F44"/>
    <w:rsid w:val="3CA578F5"/>
    <w:rsid w:val="3DAA41CA"/>
    <w:rsid w:val="3DB6573C"/>
    <w:rsid w:val="3E9B3720"/>
    <w:rsid w:val="3E9E0E6A"/>
    <w:rsid w:val="3F190D86"/>
    <w:rsid w:val="40426E6C"/>
    <w:rsid w:val="40820672"/>
    <w:rsid w:val="411C0663"/>
    <w:rsid w:val="41A35BB9"/>
    <w:rsid w:val="42B049D1"/>
    <w:rsid w:val="42C65954"/>
    <w:rsid w:val="43396824"/>
    <w:rsid w:val="433A438C"/>
    <w:rsid w:val="43B10CA0"/>
    <w:rsid w:val="43BD22E2"/>
    <w:rsid w:val="44750119"/>
    <w:rsid w:val="44BC5D2A"/>
    <w:rsid w:val="457424D9"/>
    <w:rsid w:val="457B3658"/>
    <w:rsid w:val="468A3A66"/>
    <w:rsid w:val="471244B3"/>
    <w:rsid w:val="47DF2762"/>
    <w:rsid w:val="48637390"/>
    <w:rsid w:val="49234DE5"/>
    <w:rsid w:val="49A94C1E"/>
    <w:rsid w:val="4A16058F"/>
    <w:rsid w:val="4AA66B7D"/>
    <w:rsid w:val="4B0B2E8C"/>
    <w:rsid w:val="4BFD6CD5"/>
    <w:rsid w:val="4CF52CF5"/>
    <w:rsid w:val="4DF469A6"/>
    <w:rsid w:val="50636C38"/>
    <w:rsid w:val="508E2827"/>
    <w:rsid w:val="51960CEF"/>
    <w:rsid w:val="51DF4EEA"/>
    <w:rsid w:val="52AA28AD"/>
    <w:rsid w:val="53096573"/>
    <w:rsid w:val="5449234C"/>
    <w:rsid w:val="54CD2D5E"/>
    <w:rsid w:val="55204E46"/>
    <w:rsid w:val="56221520"/>
    <w:rsid w:val="58777BBD"/>
    <w:rsid w:val="58AF3A70"/>
    <w:rsid w:val="58F63437"/>
    <w:rsid w:val="5A974F6E"/>
    <w:rsid w:val="5CFA091D"/>
    <w:rsid w:val="5F102FEB"/>
    <w:rsid w:val="5F3C6A70"/>
    <w:rsid w:val="5F6B3EAF"/>
    <w:rsid w:val="5FE94097"/>
    <w:rsid w:val="603960A8"/>
    <w:rsid w:val="60465D7E"/>
    <w:rsid w:val="608C7A76"/>
    <w:rsid w:val="61250974"/>
    <w:rsid w:val="62607DD2"/>
    <w:rsid w:val="629B78E4"/>
    <w:rsid w:val="62C31EE9"/>
    <w:rsid w:val="639D180E"/>
    <w:rsid w:val="63DD308A"/>
    <w:rsid w:val="6459191A"/>
    <w:rsid w:val="65265E53"/>
    <w:rsid w:val="658304EF"/>
    <w:rsid w:val="664F71E0"/>
    <w:rsid w:val="668E2B0A"/>
    <w:rsid w:val="689A5E6E"/>
    <w:rsid w:val="6A5D7898"/>
    <w:rsid w:val="6B1E5C56"/>
    <w:rsid w:val="6D534B45"/>
    <w:rsid w:val="6E247F43"/>
    <w:rsid w:val="70D67546"/>
    <w:rsid w:val="712946F9"/>
    <w:rsid w:val="744313AF"/>
    <w:rsid w:val="759E6D9A"/>
    <w:rsid w:val="75C55636"/>
    <w:rsid w:val="75FB2862"/>
    <w:rsid w:val="76540864"/>
    <w:rsid w:val="781859C2"/>
    <w:rsid w:val="78534A83"/>
    <w:rsid w:val="79875818"/>
    <w:rsid w:val="798869AF"/>
    <w:rsid w:val="7A856E24"/>
    <w:rsid w:val="7A9D381C"/>
    <w:rsid w:val="7B164A4E"/>
    <w:rsid w:val="7B4B5778"/>
    <w:rsid w:val="7BF87A8F"/>
    <w:rsid w:val="7C720CC2"/>
    <w:rsid w:val="7D4A04E4"/>
    <w:rsid w:val="7D8E7337"/>
    <w:rsid w:val="7E54616F"/>
    <w:rsid w:val="7F3A7B9D"/>
    <w:rsid w:val="7F730ED6"/>
    <w:rsid w:val="7F9A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BC881C-CB3F-4FC8-B784-8179619D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ind w:firstLineChars="200" w:firstLine="723"/>
      <w:jc w:val="both"/>
    </w:pPr>
    <w:rPr>
      <w:rFonts w:ascii="Calibri" w:eastAsia="宋体" w:hAnsi="Calibri" w:cs="Times New Roman"/>
      <w:kern w:val="2"/>
      <w:sz w:val="24"/>
      <w:szCs w:val="24"/>
    </w:rPr>
  </w:style>
  <w:style w:type="paragraph" w:styleId="1">
    <w:name w:val="heading 1"/>
    <w:basedOn w:val="a0"/>
    <w:next w:val="a"/>
    <w:link w:val="10"/>
    <w:qFormat/>
    <w:pPr>
      <w:keepNext/>
      <w:keepLines/>
      <w:ind w:firstLine="480"/>
      <w:jc w:val="left"/>
    </w:pPr>
    <w:rPr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Lines="50" w:before="50" w:afterLines="50" w:after="50"/>
      <w:ind w:firstLine="480"/>
      <w:jc w:val="left"/>
      <w:outlineLvl w:val="1"/>
    </w:pPr>
    <w:rPr>
      <w:rFonts w:ascii="Arial" w:eastAsia="黑体" w:hAnsi="Arial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a4"/>
    <w:qFormat/>
    <w:pPr>
      <w:spacing w:beforeLines="50" w:before="50" w:afterLines="50" w:after="50"/>
      <w:ind w:firstLineChars="0" w:firstLine="0"/>
      <w:jc w:val="center"/>
      <w:outlineLvl w:val="0"/>
    </w:pPr>
    <w:rPr>
      <w:rFonts w:ascii="Times New Roman" w:eastAsia="黑体" w:hAnsi="Times New Roman"/>
      <w:b/>
      <w:bCs/>
      <w:sz w:val="36"/>
      <w:szCs w:val="36"/>
    </w:rPr>
  </w:style>
  <w:style w:type="paragraph" w:styleId="a5">
    <w:name w:val="Salutation"/>
    <w:basedOn w:val="a"/>
    <w:next w:val="a"/>
    <w:qFormat/>
  </w:style>
  <w:style w:type="paragraph" w:styleId="HTML">
    <w:name w:val="HTML Address"/>
    <w:basedOn w:val="a"/>
    <w:qFormat/>
    <w:rPr>
      <w:i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 w:firstLineChars="0" w:firstLine="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1">
    <w:name w:val="Body Text Indent 2"/>
    <w:basedOn w:val="a"/>
    <w:link w:val="22"/>
    <w:qFormat/>
    <w:pPr>
      <w:spacing w:line="320" w:lineRule="exact"/>
      <w:ind w:firstLine="420"/>
    </w:pPr>
    <w:rPr>
      <w:rFonts w:ascii="Times New Roman" w:hAnsi="Times New Roman"/>
      <w:sz w:val="21"/>
    </w:rPr>
  </w:style>
  <w:style w:type="paragraph" w:styleId="a6">
    <w:name w:val="Balloon Text"/>
    <w:basedOn w:val="a"/>
    <w:link w:val="a7"/>
    <w:semiHidden/>
    <w:unhideWhenUsed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widowControl/>
      <w:tabs>
        <w:tab w:val="right" w:leader="dot" w:pos="8302"/>
      </w:tabs>
      <w:spacing w:after="100" w:line="500" w:lineRule="exact"/>
      <w:ind w:firstLineChars="0" w:firstLine="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59" w:lineRule="auto"/>
      <w:ind w:left="220" w:firstLineChars="0" w:firstLine="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c">
    <w:name w:val="page number"/>
    <w:basedOn w:val="a1"/>
    <w:qFormat/>
  </w:style>
  <w:style w:type="character" w:styleId="ad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basedOn w:val="a1"/>
    <w:link w:val="1"/>
    <w:uiPriority w:val="99"/>
    <w:qFormat/>
    <w:locked/>
    <w:rPr>
      <w:rFonts w:ascii="Calibri" w:eastAsia="黑体" w:hAnsi="Calibri" w:cs="Times New Roman"/>
      <w:b/>
      <w:bCs/>
      <w:kern w:val="44"/>
      <w:sz w:val="28"/>
      <w:szCs w:val="44"/>
    </w:rPr>
  </w:style>
  <w:style w:type="paragraph" w:customStyle="1" w:styleId="4">
    <w:name w:val="样式4"/>
    <w:basedOn w:val="a"/>
    <w:qFormat/>
    <w:rPr>
      <w:rFonts w:ascii="Times New Roman" w:hAnsi="Times New Roma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sz w:val="28"/>
      <w:szCs w:val="32"/>
    </w:rPr>
  </w:style>
  <w:style w:type="paragraph" w:customStyle="1" w:styleId="5">
    <w:name w:val="样式5"/>
    <w:basedOn w:val="a0"/>
    <w:qFormat/>
  </w:style>
  <w:style w:type="paragraph" w:customStyle="1" w:styleId="6">
    <w:name w:val="样式6"/>
    <w:basedOn w:val="a5"/>
    <w:next w:val="HTML"/>
    <w:link w:val="6Char"/>
    <w:qFormat/>
    <w:pPr>
      <w:spacing w:beforeLines="50" w:before="50"/>
      <w:ind w:firstLineChars="0" w:firstLine="0"/>
      <w:jc w:val="center"/>
    </w:pPr>
    <w:rPr>
      <w:rFonts w:eastAsia="华文楷体"/>
      <w:b/>
      <w:sz w:val="28"/>
    </w:rPr>
  </w:style>
  <w:style w:type="paragraph" w:customStyle="1" w:styleId="7">
    <w:name w:val="样式7"/>
    <w:basedOn w:val="1"/>
    <w:next w:val="a"/>
    <w:link w:val="7Char"/>
    <w:qFormat/>
    <w:pPr>
      <w:ind w:firstLineChars="200" w:firstLine="420"/>
      <w:outlineLvl w:val="9"/>
    </w:pPr>
    <w:rPr>
      <w:sz w:val="24"/>
    </w:rPr>
  </w:style>
  <w:style w:type="character" w:customStyle="1" w:styleId="7Char">
    <w:name w:val="样式7 Char"/>
    <w:link w:val="7"/>
    <w:qFormat/>
    <w:rPr>
      <w:rFonts w:eastAsia="黑体"/>
      <w:b/>
      <w:sz w:val="24"/>
    </w:rPr>
  </w:style>
  <w:style w:type="paragraph" w:customStyle="1" w:styleId="aaa">
    <w:name w:val="样式aaa"/>
    <w:basedOn w:val="a"/>
    <w:link w:val="aaaChar"/>
    <w:qFormat/>
    <w:rPr>
      <w:rFonts w:ascii="仿宋_GB2312" w:hAnsi="仿宋_GB2312"/>
      <w:sz w:val="21"/>
      <w:szCs w:val="28"/>
    </w:rPr>
  </w:style>
  <w:style w:type="character" w:customStyle="1" w:styleId="6Char">
    <w:name w:val="样式6 Char"/>
    <w:link w:val="6"/>
    <w:qFormat/>
    <w:rPr>
      <w:rFonts w:eastAsia="华文楷体"/>
      <w:b/>
      <w:sz w:val="28"/>
    </w:rPr>
  </w:style>
  <w:style w:type="paragraph" w:customStyle="1" w:styleId="8">
    <w:name w:val="样式8"/>
    <w:basedOn w:val="a"/>
    <w:qFormat/>
    <w:pPr>
      <w:ind w:rightChars="200" w:right="420" w:firstLine="420"/>
    </w:pPr>
    <w:rPr>
      <w:rFonts w:ascii="Times New Roman" w:hAnsi="Times New Roman"/>
    </w:rPr>
  </w:style>
  <w:style w:type="character" w:customStyle="1" w:styleId="a4">
    <w:name w:val="标题 字符"/>
    <w:link w:val="a0"/>
    <w:qFormat/>
    <w:rPr>
      <w:rFonts w:ascii="Times New Roman" w:eastAsia="黑体" w:hAnsi="Times New Roman" w:cs="Times New Roman"/>
      <w:b/>
      <w:bCs/>
      <w:sz w:val="36"/>
      <w:szCs w:val="36"/>
    </w:rPr>
  </w:style>
  <w:style w:type="character" w:customStyle="1" w:styleId="aaaChar">
    <w:name w:val="样式aaa Char"/>
    <w:link w:val="aaa"/>
    <w:qFormat/>
    <w:rPr>
      <w:rFonts w:ascii="仿宋_GB2312" w:eastAsia="宋体" w:hAnsi="仿宋_GB2312"/>
      <w:sz w:val="21"/>
      <w:szCs w:val="28"/>
    </w:rPr>
  </w:style>
  <w:style w:type="character" w:customStyle="1" w:styleId="ab">
    <w:name w:val="页眉 字符"/>
    <w:basedOn w:val="a1"/>
    <w:link w:val="aa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22">
    <w:name w:val="正文文本缩进 2 字符"/>
    <w:basedOn w:val="a1"/>
    <w:link w:val="21"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Lines="0" w:before="240" w:afterLines="0" w:after="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7">
    <w:name w:val="批注框文本 字符"/>
    <w:basedOn w:val="a1"/>
    <w:link w:val="a6"/>
    <w:semiHidden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30486-9422-41DA-A844-DDB9DCEC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1539</Characters>
  <Application>Microsoft Office Word</Application>
  <DocSecurity>0</DocSecurity>
  <Lines>12</Lines>
  <Paragraphs>3</Paragraphs>
  <ScaleCrop>false</ScaleCrop>
  <Company>微软中国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ILDL</dc:creator>
  <cp:lastModifiedBy>xbany</cp:lastModifiedBy>
  <cp:revision>25</cp:revision>
  <dcterms:created xsi:type="dcterms:W3CDTF">2018-03-29T00:49:00Z</dcterms:created>
  <dcterms:modified xsi:type="dcterms:W3CDTF">2022-02-28T01:45:00Z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A023410738D141CAB3E24C87D444EEBF</vt:lpwstr>
  </property>
</Properties>
</file>