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宋体" w:eastAsia="黑体"/>
          <w:b/>
          <w:sz w:val="30"/>
          <w:szCs w:val="30"/>
        </w:rPr>
      </w:pPr>
      <w:bookmarkStart w:id="0" w:name="_Hlk96936199"/>
      <w:r>
        <w:rPr>
          <w:rFonts w:hint="eastAsia" w:ascii="黑体" w:hAnsi="宋体" w:eastAsia="黑体"/>
          <w:b/>
          <w:sz w:val="30"/>
          <w:szCs w:val="30"/>
        </w:rPr>
        <w:t>湘潭大学兴湘学院2022年专升本</w:t>
      </w:r>
      <w:r>
        <w:rPr>
          <w:rFonts w:hint="eastAsia" w:ascii="黑体" w:hAnsi="宋体" w:eastAsia="黑体"/>
          <w:b/>
          <w:sz w:val="30"/>
          <w:szCs w:val="30"/>
        </w:rPr>
        <w:t>《公共政策学》考试大</w:t>
      </w:r>
      <w:bookmarkStart w:id="12" w:name="_GoBack"/>
      <w:bookmarkEnd w:id="12"/>
      <w:r>
        <w:rPr>
          <w:rFonts w:hint="eastAsia" w:ascii="黑体" w:hAnsi="宋体" w:eastAsia="黑体"/>
          <w:b/>
          <w:sz w:val="30"/>
          <w:szCs w:val="30"/>
        </w:rPr>
        <w:t>纲</w:t>
      </w:r>
    </w:p>
    <w:bookmarkEnd w:id="0"/>
    <w:p>
      <w:pPr>
        <w:pStyle w:val="2"/>
        <w:spacing w:before="240" w:after="240" w:line="440" w:lineRule="exact"/>
        <w:ind w:firstLine="630" w:firstLineChars="196"/>
        <w:rPr>
          <w:rFonts w:ascii="宋体" w:hAnsi="宋体"/>
          <w:color w:val="000000"/>
          <w:sz w:val="32"/>
        </w:rPr>
      </w:pPr>
      <w:bookmarkStart w:id="1" w:name="_Toc297841283"/>
      <w:bookmarkStart w:id="2" w:name="_Toc390505014"/>
      <w:r>
        <w:rPr>
          <w:rFonts w:ascii="宋体" w:hAnsi="宋体"/>
          <w:color w:val="000000"/>
          <w:sz w:val="32"/>
        </w:rPr>
        <w:t>一、考查目标</w:t>
      </w:r>
      <w:bookmarkEnd w:id="1"/>
      <w:bookmarkEnd w:id="2"/>
    </w:p>
    <w:p>
      <w:pPr>
        <w:widowControl/>
        <w:spacing w:line="360" w:lineRule="auto"/>
        <w:ind w:firstLine="470" w:firstLineChars="196"/>
        <w:jc w:val="left"/>
        <w:rPr>
          <w:rFonts w:asciiTheme="minorEastAsia" w:hAnsiTheme="minorEastAsia"/>
          <w:color w:val="000000"/>
          <w:sz w:val="24"/>
        </w:rPr>
      </w:pPr>
      <w:r>
        <w:rPr>
          <w:rFonts w:hint="eastAsia" w:asciiTheme="minorEastAsia" w:hAnsiTheme="minorEastAsia"/>
          <w:color w:val="000000"/>
          <w:sz w:val="24"/>
        </w:rPr>
        <w:t>公共政策是公共权力机关经由政治过程所选择和制定的为解决公共问题、达成公共目标、以实现公共利益的方案，其作用是规范和指导有关机构、团体或个人的行动，其表达形式包括法律法规、行政规定或命令、国家领导人口头或书面的指示、政府规划等。《</w:t>
      </w:r>
      <w:r>
        <w:rPr>
          <w:rFonts w:asciiTheme="minorEastAsia" w:hAnsiTheme="minorEastAsia"/>
          <w:color w:val="000000"/>
          <w:sz w:val="24"/>
        </w:rPr>
        <w:t>公共</w:t>
      </w:r>
      <w:r>
        <w:rPr>
          <w:rFonts w:hint="eastAsia" w:asciiTheme="minorEastAsia" w:hAnsiTheme="minorEastAsia"/>
          <w:color w:val="000000"/>
          <w:sz w:val="24"/>
        </w:rPr>
        <w:t>政策</w:t>
      </w:r>
      <w:r>
        <w:rPr>
          <w:rFonts w:asciiTheme="minorEastAsia" w:hAnsiTheme="minorEastAsia"/>
          <w:color w:val="000000"/>
          <w:sz w:val="24"/>
        </w:rPr>
        <w:t>学</w:t>
      </w:r>
      <w:r>
        <w:rPr>
          <w:rFonts w:hint="eastAsia" w:asciiTheme="minorEastAsia" w:hAnsiTheme="minorEastAsia"/>
          <w:color w:val="000000"/>
          <w:sz w:val="24"/>
        </w:rPr>
        <w:t>》</w:t>
      </w:r>
      <w:r>
        <w:rPr>
          <w:rFonts w:asciiTheme="minorEastAsia" w:hAnsiTheme="minorEastAsia"/>
          <w:color w:val="000000"/>
          <w:sz w:val="24"/>
        </w:rPr>
        <w:t>是</w:t>
      </w:r>
      <w:r>
        <w:rPr>
          <w:rFonts w:hint="eastAsia" w:asciiTheme="minorEastAsia" w:hAnsiTheme="minorEastAsia"/>
          <w:color w:val="000000"/>
          <w:sz w:val="24"/>
        </w:rPr>
        <w:t>公共管理学科的一门基础课，旨在培养学生的公共政策理论素养、专业意识和实际应用能力。因此，《公共政策学》课程的入学考试，既充分反映公共管理的学科特点，检测考生对基本理论知识掌握和理解的情况；又要紧密结合新时代公共管理实践，检测考生对公共政策理论知识实际运用的能力。</w:t>
      </w:r>
    </w:p>
    <w:p>
      <w:pPr>
        <w:spacing w:line="420" w:lineRule="exact"/>
        <w:ind w:firstLine="480" w:firstLineChars="200"/>
        <w:rPr>
          <w:rFonts w:asciiTheme="minorEastAsia" w:hAnsiTheme="minorEastAsia"/>
          <w:color w:val="000000"/>
          <w:sz w:val="24"/>
        </w:rPr>
      </w:pPr>
      <w:bookmarkStart w:id="3" w:name="_Toc390505015"/>
      <w:bookmarkStart w:id="4" w:name="_Toc297841284"/>
      <w:r>
        <w:rPr>
          <w:rFonts w:asciiTheme="minorEastAsia" w:hAnsiTheme="minorEastAsia"/>
          <w:color w:val="000000"/>
          <w:sz w:val="24"/>
        </w:rPr>
        <w:t>本课程要求考生了解公共政策的基本概念</w:t>
      </w:r>
      <w:r>
        <w:rPr>
          <w:rFonts w:hint="eastAsia" w:asciiTheme="minorEastAsia" w:hAnsiTheme="minorEastAsia"/>
          <w:color w:val="000000"/>
          <w:sz w:val="24"/>
        </w:rPr>
        <w:t>、</w:t>
      </w:r>
      <w:r>
        <w:rPr>
          <w:rFonts w:asciiTheme="minorEastAsia" w:hAnsiTheme="minorEastAsia"/>
          <w:color w:val="000000"/>
          <w:sz w:val="24"/>
        </w:rPr>
        <w:t>系统过程</w:t>
      </w:r>
      <w:r>
        <w:rPr>
          <w:rFonts w:hint="eastAsia" w:asciiTheme="minorEastAsia" w:hAnsiTheme="minorEastAsia"/>
          <w:color w:val="000000"/>
          <w:sz w:val="24"/>
        </w:rPr>
        <w:t>、</w:t>
      </w:r>
      <w:r>
        <w:rPr>
          <w:rFonts w:asciiTheme="minorEastAsia" w:hAnsiTheme="minorEastAsia"/>
          <w:color w:val="000000"/>
          <w:sz w:val="24"/>
        </w:rPr>
        <w:t>分析方法与理论模型等</w:t>
      </w:r>
      <w:r>
        <w:rPr>
          <w:rFonts w:hint="eastAsia" w:asciiTheme="minorEastAsia" w:hAnsiTheme="minorEastAsia"/>
          <w:color w:val="000000"/>
          <w:sz w:val="24"/>
        </w:rPr>
        <w:t>，</w:t>
      </w:r>
      <w:r>
        <w:rPr>
          <w:rFonts w:asciiTheme="minorEastAsia" w:hAnsiTheme="minorEastAsia"/>
          <w:color w:val="000000"/>
          <w:sz w:val="24"/>
        </w:rPr>
        <w:t>掌握公共政策问题构建</w:t>
      </w:r>
      <w:r>
        <w:rPr>
          <w:rFonts w:hint="eastAsia" w:asciiTheme="minorEastAsia" w:hAnsiTheme="minorEastAsia"/>
          <w:color w:val="000000"/>
          <w:sz w:val="24"/>
        </w:rPr>
        <w:t>、</w:t>
      </w:r>
      <w:r>
        <w:rPr>
          <w:rFonts w:asciiTheme="minorEastAsia" w:hAnsiTheme="minorEastAsia"/>
          <w:color w:val="000000"/>
          <w:sz w:val="24"/>
        </w:rPr>
        <w:t>方案制定</w:t>
      </w:r>
      <w:r>
        <w:rPr>
          <w:rFonts w:hint="eastAsia" w:asciiTheme="minorEastAsia" w:hAnsiTheme="minorEastAsia"/>
          <w:color w:val="000000"/>
          <w:sz w:val="24"/>
        </w:rPr>
        <w:t>、</w:t>
      </w:r>
      <w:r>
        <w:rPr>
          <w:rFonts w:asciiTheme="minorEastAsia" w:hAnsiTheme="minorEastAsia"/>
          <w:color w:val="000000"/>
          <w:sz w:val="24"/>
        </w:rPr>
        <w:t>内容执行</w:t>
      </w:r>
      <w:r>
        <w:rPr>
          <w:rFonts w:hint="eastAsia" w:asciiTheme="minorEastAsia" w:hAnsiTheme="minorEastAsia"/>
          <w:color w:val="000000"/>
          <w:sz w:val="24"/>
        </w:rPr>
        <w:t>、</w:t>
      </w:r>
      <w:r>
        <w:rPr>
          <w:rFonts w:asciiTheme="minorEastAsia" w:hAnsiTheme="minorEastAsia"/>
          <w:color w:val="000000"/>
          <w:sz w:val="24"/>
        </w:rPr>
        <w:t>效果评价等知识要点</w:t>
      </w:r>
      <w:r>
        <w:rPr>
          <w:rFonts w:hint="eastAsia" w:asciiTheme="minorEastAsia" w:hAnsiTheme="minorEastAsia"/>
          <w:color w:val="000000"/>
          <w:sz w:val="24"/>
        </w:rPr>
        <w:t>，</w:t>
      </w:r>
      <w:r>
        <w:rPr>
          <w:rFonts w:asciiTheme="minorEastAsia" w:hAnsiTheme="minorEastAsia"/>
          <w:color w:val="000000"/>
          <w:sz w:val="24"/>
        </w:rPr>
        <w:t>能够运用公共政策的视角</w:t>
      </w:r>
      <w:r>
        <w:rPr>
          <w:rFonts w:hint="eastAsia" w:asciiTheme="minorEastAsia" w:hAnsiTheme="minorEastAsia"/>
          <w:color w:val="000000"/>
          <w:sz w:val="24"/>
        </w:rPr>
        <w:t>与相关理论等分析和解决现实问题。</w:t>
      </w:r>
    </w:p>
    <w:p>
      <w:pPr>
        <w:pStyle w:val="2"/>
        <w:spacing w:before="240" w:after="240" w:line="440" w:lineRule="exact"/>
        <w:ind w:firstLine="630" w:firstLineChars="196"/>
        <w:rPr>
          <w:rFonts w:ascii="宋体" w:hAnsi="宋体"/>
          <w:color w:val="000000"/>
          <w:sz w:val="32"/>
        </w:rPr>
      </w:pPr>
      <w:r>
        <w:rPr>
          <w:rFonts w:ascii="宋体" w:hAnsi="宋体"/>
          <w:color w:val="000000"/>
          <w:sz w:val="32"/>
        </w:rPr>
        <w:t>二、考试形式和试卷结构</w:t>
      </w:r>
      <w:bookmarkEnd w:id="3"/>
      <w:bookmarkEnd w:id="4"/>
    </w:p>
    <w:p>
      <w:pPr>
        <w:widowControl/>
        <w:spacing w:line="360" w:lineRule="auto"/>
        <w:ind w:firstLine="420"/>
        <w:jc w:val="left"/>
        <w:outlineLvl w:val="1"/>
        <w:rPr>
          <w:rFonts w:asciiTheme="minorEastAsia" w:hAnsiTheme="minorEastAsia"/>
          <w:b/>
          <w:kern w:val="0"/>
          <w:sz w:val="24"/>
        </w:rPr>
      </w:pPr>
      <w:bookmarkStart w:id="5" w:name="_Toc297841285"/>
      <w:bookmarkStart w:id="6" w:name="_Toc390505016"/>
      <w:r>
        <w:rPr>
          <w:rFonts w:hint="eastAsia" w:asciiTheme="minorEastAsia" w:hAnsiTheme="minorEastAsia"/>
          <w:b/>
          <w:kern w:val="0"/>
          <w:sz w:val="24"/>
        </w:rPr>
        <w:t>（一）试卷满分及考试时间</w:t>
      </w:r>
      <w:bookmarkEnd w:id="5"/>
      <w:bookmarkEnd w:id="6"/>
    </w:p>
    <w:p>
      <w:pPr>
        <w:widowControl/>
        <w:spacing w:line="360" w:lineRule="auto"/>
        <w:ind w:firstLine="420"/>
        <w:jc w:val="left"/>
        <w:rPr>
          <w:rFonts w:asciiTheme="minorEastAsia" w:hAnsiTheme="minorEastAsia"/>
          <w:kern w:val="0"/>
          <w:sz w:val="24"/>
        </w:rPr>
      </w:pPr>
      <w:r>
        <w:rPr>
          <w:rFonts w:hint="eastAsia" w:asciiTheme="minorEastAsia" w:hAnsiTheme="minorEastAsia"/>
          <w:kern w:val="0"/>
          <w:sz w:val="24"/>
        </w:rPr>
        <w:t>总分：</w:t>
      </w:r>
      <w:r>
        <w:rPr>
          <w:rFonts w:asciiTheme="minorEastAsia" w:hAnsiTheme="minorEastAsia"/>
          <w:kern w:val="0"/>
          <w:sz w:val="24"/>
        </w:rPr>
        <w:t>100</w:t>
      </w:r>
      <w:r>
        <w:rPr>
          <w:rFonts w:hint="eastAsia" w:asciiTheme="minorEastAsia" w:hAnsiTheme="minorEastAsia"/>
          <w:kern w:val="0"/>
          <w:sz w:val="24"/>
        </w:rPr>
        <w:t>分，</w:t>
      </w:r>
      <w:r>
        <w:rPr>
          <w:rFonts w:asciiTheme="minorEastAsia" w:hAnsiTheme="minorEastAsia"/>
          <w:kern w:val="0"/>
          <w:sz w:val="24"/>
        </w:rPr>
        <w:t xml:space="preserve"> </w:t>
      </w:r>
      <w:r>
        <w:rPr>
          <w:rFonts w:hint="eastAsia" w:asciiTheme="minorEastAsia" w:hAnsiTheme="minorEastAsia"/>
          <w:kern w:val="0"/>
          <w:sz w:val="24"/>
        </w:rPr>
        <w:t>考试时间：</w:t>
      </w:r>
      <w:r>
        <w:rPr>
          <w:rFonts w:asciiTheme="minorEastAsia" w:hAnsiTheme="minorEastAsia"/>
          <w:kern w:val="0"/>
          <w:sz w:val="24"/>
        </w:rPr>
        <w:t>120</w:t>
      </w:r>
      <w:r>
        <w:rPr>
          <w:rFonts w:hint="eastAsia" w:asciiTheme="minorEastAsia" w:hAnsiTheme="minorEastAsia"/>
          <w:kern w:val="0"/>
          <w:sz w:val="24"/>
        </w:rPr>
        <w:t>分钟</w:t>
      </w:r>
    </w:p>
    <w:p>
      <w:pPr>
        <w:widowControl/>
        <w:spacing w:line="360" w:lineRule="auto"/>
        <w:ind w:firstLine="420"/>
        <w:jc w:val="left"/>
        <w:outlineLvl w:val="1"/>
        <w:rPr>
          <w:rFonts w:asciiTheme="minorEastAsia" w:hAnsiTheme="minorEastAsia"/>
          <w:b/>
          <w:kern w:val="0"/>
          <w:sz w:val="24"/>
        </w:rPr>
      </w:pPr>
      <w:bookmarkStart w:id="7" w:name="_Toc297841286"/>
      <w:bookmarkStart w:id="8" w:name="_Toc390505017"/>
      <w:r>
        <w:rPr>
          <w:rFonts w:hint="eastAsia" w:asciiTheme="minorEastAsia" w:hAnsiTheme="minorEastAsia"/>
          <w:b/>
          <w:kern w:val="0"/>
          <w:sz w:val="24"/>
        </w:rPr>
        <w:t>（二）考试方式</w:t>
      </w:r>
      <w:bookmarkEnd w:id="7"/>
      <w:bookmarkEnd w:id="8"/>
    </w:p>
    <w:p>
      <w:pPr>
        <w:widowControl/>
        <w:spacing w:line="360" w:lineRule="auto"/>
        <w:ind w:firstLine="420"/>
        <w:jc w:val="left"/>
        <w:rPr>
          <w:rFonts w:asciiTheme="minorEastAsia" w:hAnsiTheme="minorEastAsia"/>
          <w:kern w:val="0"/>
          <w:sz w:val="24"/>
        </w:rPr>
      </w:pPr>
      <w:r>
        <w:rPr>
          <w:rFonts w:hint="eastAsia" w:asciiTheme="minorEastAsia" w:hAnsiTheme="minorEastAsia"/>
          <w:kern w:val="0"/>
          <w:sz w:val="24"/>
        </w:rPr>
        <w:t>闭卷、笔试</w:t>
      </w:r>
    </w:p>
    <w:p>
      <w:pPr>
        <w:widowControl/>
        <w:spacing w:line="360" w:lineRule="auto"/>
        <w:ind w:firstLine="420"/>
        <w:jc w:val="left"/>
        <w:outlineLvl w:val="1"/>
        <w:rPr>
          <w:rFonts w:asciiTheme="minorEastAsia" w:hAnsiTheme="minorEastAsia"/>
          <w:b/>
          <w:kern w:val="0"/>
          <w:sz w:val="24"/>
        </w:rPr>
      </w:pPr>
      <w:bookmarkStart w:id="9" w:name="_Toc390505019"/>
      <w:bookmarkStart w:id="10" w:name="_Toc297841288"/>
      <w:r>
        <w:rPr>
          <w:rFonts w:hint="eastAsia" w:asciiTheme="minorEastAsia" w:hAnsiTheme="minorEastAsia"/>
          <w:b/>
          <w:kern w:val="0"/>
          <w:sz w:val="24"/>
        </w:rPr>
        <w:t>（三）题型结构</w:t>
      </w:r>
      <w:bookmarkEnd w:id="9"/>
      <w:bookmarkEnd w:id="10"/>
    </w:p>
    <w:p>
      <w:pPr>
        <w:widowControl/>
        <w:spacing w:line="360" w:lineRule="auto"/>
        <w:ind w:firstLine="470" w:firstLineChars="196"/>
        <w:jc w:val="left"/>
        <w:rPr>
          <w:rFonts w:asciiTheme="minorEastAsia" w:hAnsiTheme="minorEastAsia"/>
          <w:sz w:val="24"/>
        </w:rPr>
      </w:pPr>
      <w:r>
        <w:rPr>
          <w:rFonts w:asciiTheme="minorEastAsia" w:hAnsiTheme="minorEastAsia"/>
          <w:sz w:val="24"/>
        </w:rPr>
        <w:t xml:space="preserve">1. </w:t>
      </w:r>
      <w:r>
        <w:rPr>
          <w:rFonts w:hint="eastAsia" w:asciiTheme="minorEastAsia" w:hAnsiTheme="minorEastAsia"/>
          <w:sz w:val="24"/>
        </w:rPr>
        <w:t>名词解释（本题共有</w:t>
      </w:r>
      <w:r>
        <w:rPr>
          <w:rFonts w:asciiTheme="minorEastAsia" w:hAnsiTheme="minorEastAsia"/>
          <w:sz w:val="24"/>
        </w:rPr>
        <w:t>5</w:t>
      </w:r>
      <w:r>
        <w:rPr>
          <w:rFonts w:hint="eastAsia" w:asciiTheme="minorEastAsia" w:hAnsiTheme="minorEastAsia"/>
          <w:sz w:val="24"/>
        </w:rPr>
        <w:t>小题，每题</w:t>
      </w:r>
      <w:r>
        <w:rPr>
          <w:rFonts w:asciiTheme="minorEastAsia" w:hAnsiTheme="minorEastAsia"/>
          <w:sz w:val="24"/>
        </w:rPr>
        <w:t>4</w:t>
      </w:r>
      <w:r>
        <w:rPr>
          <w:rFonts w:hint="eastAsia" w:asciiTheme="minorEastAsia" w:hAnsiTheme="minorEastAsia"/>
          <w:sz w:val="24"/>
        </w:rPr>
        <w:t>分，共</w:t>
      </w:r>
      <w:r>
        <w:rPr>
          <w:rFonts w:asciiTheme="minorEastAsia" w:hAnsiTheme="minorEastAsia"/>
          <w:sz w:val="24"/>
        </w:rPr>
        <w:t>20</w:t>
      </w:r>
      <w:r>
        <w:rPr>
          <w:rFonts w:hint="eastAsia" w:asciiTheme="minorEastAsia" w:hAnsiTheme="minorEastAsia"/>
          <w:sz w:val="24"/>
        </w:rPr>
        <w:t>分）</w:t>
      </w:r>
    </w:p>
    <w:p>
      <w:pPr>
        <w:widowControl/>
        <w:spacing w:line="360" w:lineRule="auto"/>
        <w:ind w:firstLine="470" w:firstLineChars="196"/>
        <w:jc w:val="left"/>
        <w:rPr>
          <w:rFonts w:asciiTheme="minorEastAsia" w:hAnsiTheme="minorEastAsia"/>
          <w:sz w:val="24"/>
        </w:rPr>
      </w:pPr>
      <w:r>
        <w:rPr>
          <w:rFonts w:asciiTheme="minorEastAsia" w:hAnsiTheme="minorEastAsia"/>
          <w:sz w:val="24"/>
        </w:rPr>
        <w:t xml:space="preserve">3. </w:t>
      </w:r>
      <w:r>
        <w:rPr>
          <w:rFonts w:hint="eastAsia" w:asciiTheme="minorEastAsia" w:hAnsiTheme="minorEastAsia"/>
          <w:sz w:val="24"/>
        </w:rPr>
        <w:t>简述题（本题共有</w:t>
      </w:r>
      <w:r>
        <w:rPr>
          <w:rFonts w:asciiTheme="minorEastAsia" w:hAnsiTheme="minorEastAsia"/>
          <w:sz w:val="24"/>
        </w:rPr>
        <w:t>4</w:t>
      </w:r>
      <w:r>
        <w:rPr>
          <w:rFonts w:hint="eastAsia" w:asciiTheme="minorEastAsia" w:hAnsiTheme="minorEastAsia"/>
          <w:sz w:val="24"/>
        </w:rPr>
        <w:t>小题，每小题</w:t>
      </w:r>
      <w:r>
        <w:rPr>
          <w:rFonts w:asciiTheme="minorEastAsia" w:hAnsiTheme="minorEastAsia"/>
          <w:sz w:val="24"/>
        </w:rPr>
        <w:t>8</w:t>
      </w:r>
      <w:r>
        <w:rPr>
          <w:rFonts w:hint="eastAsia" w:asciiTheme="minorEastAsia" w:hAnsiTheme="minorEastAsia"/>
          <w:sz w:val="24"/>
        </w:rPr>
        <w:t>分，共</w:t>
      </w:r>
      <w:r>
        <w:rPr>
          <w:rFonts w:asciiTheme="minorEastAsia" w:hAnsiTheme="minorEastAsia"/>
          <w:sz w:val="24"/>
        </w:rPr>
        <w:t>32</w:t>
      </w:r>
      <w:r>
        <w:rPr>
          <w:rFonts w:hint="eastAsia" w:asciiTheme="minorEastAsia" w:hAnsiTheme="minorEastAsia"/>
          <w:sz w:val="24"/>
        </w:rPr>
        <w:t>分）。</w:t>
      </w:r>
    </w:p>
    <w:p>
      <w:pPr>
        <w:widowControl/>
        <w:spacing w:line="360" w:lineRule="auto"/>
        <w:ind w:firstLine="470" w:firstLineChars="196"/>
        <w:jc w:val="left"/>
        <w:rPr>
          <w:rFonts w:asciiTheme="minorEastAsia" w:hAnsiTheme="minorEastAsia"/>
          <w:sz w:val="24"/>
        </w:rPr>
      </w:pPr>
      <w:r>
        <w:rPr>
          <w:rFonts w:asciiTheme="minorEastAsia" w:hAnsiTheme="minorEastAsia"/>
          <w:sz w:val="24"/>
        </w:rPr>
        <w:t>4</w:t>
      </w:r>
      <w:r>
        <w:rPr>
          <w:rFonts w:hint="eastAsia" w:asciiTheme="minorEastAsia" w:hAnsiTheme="minorEastAsia"/>
          <w:sz w:val="24"/>
        </w:rPr>
        <w:t>．论述题（本题共有</w:t>
      </w:r>
      <w:r>
        <w:rPr>
          <w:rFonts w:asciiTheme="minorEastAsia" w:hAnsiTheme="minorEastAsia"/>
          <w:sz w:val="24"/>
        </w:rPr>
        <w:t>2</w:t>
      </w:r>
      <w:r>
        <w:rPr>
          <w:rFonts w:hint="eastAsia" w:asciiTheme="minorEastAsia" w:hAnsiTheme="minorEastAsia"/>
          <w:sz w:val="24"/>
        </w:rPr>
        <w:t>小题，每小题</w:t>
      </w:r>
      <w:r>
        <w:rPr>
          <w:rFonts w:asciiTheme="minorEastAsia" w:hAnsiTheme="minorEastAsia"/>
          <w:sz w:val="24"/>
        </w:rPr>
        <w:t>16</w:t>
      </w:r>
      <w:r>
        <w:rPr>
          <w:rFonts w:hint="eastAsia" w:asciiTheme="minorEastAsia" w:hAnsiTheme="minorEastAsia"/>
          <w:sz w:val="24"/>
        </w:rPr>
        <w:t>分，共</w:t>
      </w:r>
      <w:r>
        <w:rPr>
          <w:rFonts w:asciiTheme="minorEastAsia" w:hAnsiTheme="minorEastAsia"/>
          <w:sz w:val="24"/>
        </w:rPr>
        <w:t>32</w:t>
      </w:r>
      <w:r>
        <w:rPr>
          <w:rFonts w:hint="eastAsia" w:asciiTheme="minorEastAsia" w:hAnsiTheme="minorEastAsia"/>
          <w:sz w:val="24"/>
        </w:rPr>
        <w:t>分）。</w:t>
      </w:r>
    </w:p>
    <w:p>
      <w:pPr>
        <w:widowControl/>
        <w:spacing w:line="360" w:lineRule="auto"/>
        <w:ind w:firstLine="470" w:firstLineChars="196"/>
        <w:jc w:val="left"/>
        <w:rPr>
          <w:rFonts w:asciiTheme="minorEastAsia" w:hAnsiTheme="minorEastAsia"/>
          <w:color w:val="FF0000"/>
          <w:sz w:val="24"/>
        </w:rPr>
      </w:pPr>
      <w:r>
        <w:rPr>
          <w:rFonts w:asciiTheme="minorEastAsia" w:hAnsiTheme="minorEastAsia"/>
          <w:sz w:val="24"/>
        </w:rPr>
        <w:t>5</w:t>
      </w:r>
      <w:r>
        <w:rPr>
          <w:rFonts w:hint="eastAsia" w:asciiTheme="minorEastAsia" w:hAnsiTheme="minorEastAsia"/>
          <w:sz w:val="24"/>
        </w:rPr>
        <w:t>．案例（材料）分析题（本题共有</w:t>
      </w:r>
      <w:r>
        <w:rPr>
          <w:rFonts w:asciiTheme="minorEastAsia" w:hAnsiTheme="minorEastAsia"/>
          <w:sz w:val="24"/>
        </w:rPr>
        <w:t>1</w:t>
      </w:r>
      <w:r>
        <w:rPr>
          <w:rFonts w:hint="eastAsia" w:asciiTheme="minorEastAsia" w:hAnsiTheme="minorEastAsia"/>
          <w:sz w:val="24"/>
        </w:rPr>
        <w:t>小题，每小题</w:t>
      </w:r>
      <w:r>
        <w:rPr>
          <w:rFonts w:asciiTheme="minorEastAsia" w:hAnsiTheme="minorEastAsia"/>
          <w:sz w:val="24"/>
        </w:rPr>
        <w:t>16</w:t>
      </w:r>
      <w:r>
        <w:rPr>
          <w:rFonts w:hint="eastAsia" w:asciiTheme="minorEastAsia" w:hAnsiTheme="minorEastAsia"/>
          <w:sz w:val="24"/>
        </w:rPr>
        <w:t>分，共</w:t>
      </w:r>
      <w:r>
        <w:rPr>
          <w:rFonts w:asciiTheme="minorEastAsia" w:hAnsiTheme="minorEastAsia"/>
          <w:sz w:val="24"/>
        </w:rPr>
        <w:t>16</w:t>
      </w:r>
      <w:r>
        <w:rPr>
          <w:rFonts w:hint="eastAsia" w:asciiTheme="minorEastAsia" w:hAnsiTheme="minorEastAsia"/>
          <w:sz w:val="24"/>
        </w:rPr>
        <w:t>分）。</w:t>
      </w:r>
    </w:p>
    <w:p>
      <w:pPr>
        <w:pStyle w:val="2"/>
        <w:spacing w:before="240" w:after="240" w:line="440" w:lineRule="exact"/>
        <w:ind w:firstLine="630" w:firstLineChars="196"/>
        <w:rPr>
          <w:rFonts w:ascii="宋体" w:hAnsi="宋体"/>
          <w:color w:val="000000"/>
          <w:sz w:val="32"/>
        </w:rPr>
      </w:pPr>
      <w:r>
        <w:rPr>
          <w:rFonts w:hint="eastAsia" w:ascii="宋体" w:hAnsi="宋体"/>
          <w:color w:val="000000"/>
          <w:sz w:val="32"/>
        </w:rPr>
        <w:t>三、考查范围</w:t>
      </w:r>
    </w:p>
    <w:p>
      <w:pPr>
        <w:spacing w:line="420" w:lineRule="exact"/>
        <w:ind w:firstLine="482" w:firstLineChars="200"/>
        <w:rPr>
          <w:rFonts w:cs="Times New Roman" w:asciiTheme="minorEastAsia" w:hAnsiTheme="minorEastAsia"/>
          <w:sz w:val="24"/>
        </w:rPr>
      </w:pPr>
      <w:bookmarkStart w:id="11" w:name="_Hlk96935448"/>
      <w:r>
        <w:rPr>
          <w:rFonts w:cs="Times New Roman" w:asciiTheme="minorEastAsia" w:hAnsiTheme="minorEastAsia"/>
          <w:b/>
          <w:sz w:val="24"/>
        </w:rPr>
        <w:t>（一）考试教材</w:t>
      </w:r>
      <w:r>
        <w:rPr>
          <w:rFonts w:cs="Times New Roman" w:asciiTheme="minorEastAsia" w:hAnsiTheme="minorEastAsia"/>
          <w:sz w:val="24"/>
        </w:rPr>
        <w:t>：</w:t>
      </w:r>
      <w:bookmarkEnd w:id="11"/>
      <w:r>
        <w:rPr>
          <w:rFonts w:cs="Times New Roman" w:asciiTheme="minorEastAsia" w:hAnsiTheme="minorEastAsia"/>
          <w:sz w:val="24"/>
        </w:rPr>
        <w:t>陈庆云</w:t>
      </w:r>
      <w:r>
        <w:rPr>
          <w:rFonts w:hint="eastAsia" w:cs="Times New Roman" w:asciiTheme="minorEastAsia" w:hAnsiTheme="minorEastAsia"/>
          <w:sz w:val="24"/>
        </w:rPr>
        <w:t>主编，</w:t>
      </w:r>
      <w:r>
        <w:rPr>
          <w:rFonts w:cs="Times New Roman" w:asciiTheme="minorEastAsia" w:hAnsiTheme="minorEastAsia"/>
          <w:sz w:val="24"/>
        </w:rPr>
        <w:t>《公共政策分析》</w:t>
      </w:r>
      <w:r>
        <w:rPr>
          <w:rFonts w:hint="eastAsia" w:cs="Times New Roman" w:asciiTheme="minorEastAsia" w:hAnsiTheme="minorEastAsia"/>
          <w:sz w:val="24"/>
        </w:rPr>
        <w:t>（第2版）</w:t>
      </w:r>
      <w:r>
        <w:rPr>
          <w:rFonts w:cs="Times New Roman" w:asciiTheme="minorEastAsia" w:hAnsiTheme="minorEastAsia"/>
          <w:sz w:val="24"/>
        </w:rPr>
        <w:t>，北京大学出版社</w:t>
      </w:r>
      <w:r>
        <w:rPr>
          <w:rFonts w:hint="eastAsia" w:cs="Times New Roman" w:asciiTheme="minorEastAsia" w:hAnsiTheme="minorEastAsia"/>
          <w:sz w:val="24"/>
        </w:rPr>
        <w:t>，</w:t>
      </w:r>
      <w:r>
        <w:rPr>
          <w:rFonts w:cs="Times New Roman" w:asciiTheme="minorEastAsia" w:hAnsiTheme="minorEastAsia"/>
          <w:sz w:val="24"/>
        </w:rPr>
        <w:t>2015年版。</w:t>
      </w:r>
    </w:p>
    <w:p>
      <w:pPr>
        <w:spacing w:line="420" w:lineRule="exact"/>
        <w:ind w:firstLine="482" w:firstLineChars="200"/>
        <w:rPr>
          <w:rFonts w:cs="Times New Roman" w:asciiTheme="minorEastAsia" w:hAnsiTheme="minorEastAsia"/>
          <w:b/>
          <w:sz w:val="24"/>
        </w:rPr>
      </w:pPr>
      <w:r>
        <w:rPr>
          <w:rFonts w:hint="eastAsia" w:cs="Times New Roman" w:asciiTheme="minorEastAsia" w:hAnsiTheme="minorEastAsia"/>
          <w:b/>
          <w:sz w:val="24"/>
        </w:rPr>
        <w:t>（二）考试重点内容：</w:t>
      </w:r>
    </w:p>
    <w:p>
      <w:pPr>
        <w:pStyle w:val="3"/>
        <w:spacing w:before="120" w:after="120" w:line="400" w:lineRule="exact"/>
        <w:ind w:firstLine="551" w:firstLineChars="196"/>
        <w:rPr>
          <w:rFonts w:ascii="宋体" w:hAnsi="宋体" w:eastAsia="宋体"/>
          <w:color w:val="000000"/>
          <w:sz w:val="28"/>
        </w:rPr>
      </w:pPr>
      <w:r>
        <w:rPr>
          <w:rFonts w:hint="eastAsia" w:ascii="宋体" w:hAnsi="宋体" w:eastAsia="宋体"/>
          <w:color w:val="000000"/>
          <w:sz w:val="28"/>
        </w:rPr>
        <w:t>第一章 公共政策分析的基本理论与框架</w:t>
      </w:r>
    </w:p>
    <w:p>
      <w:pPr>
        <w:spacing w:line="420" w:lineRule="exact"/>
        <w:ind w:firstLine="480"/>
        <w:rPr>
          <w:rFonts w:ascii="Times New Roman" w:hAnsi="Times New Roman" w:eastAsia="宋体" w:cs="Times New Roman"/>
          <w:sz w:val="24"/>
        </w:rPr>
      </w:pPr>
      <w:r>
        <w:rPr>
          <w:rFonts w:hint="eastAsia" w:ascii="Times New Roman" w:hAnsi="Times New Roman" w:eastAsia="宋体" w:cs="Times New Roman"/>
          <w:sz w:val="24"/>
        </w:rPr>
        <w:t>（一）公共政策的本质</w:t>
      </w:r>
    </w:p>
    <w:p>
      <w:pPr>
        <w:spacing w:line="420" w:lineRule="exact"/>
        <w:ind w:firstLine="480"/>
        <w:rPr>
          <w:rFonts w:ascii="Times New Roman" w:hAnsi="Times New Roman" w:eastAsia="宋体" w:cs="Times New Roman"/>
          <w:sz w:val="24"/>
        </w:rPr>
      </w:pPr>
      <w:r>
        <w:rPr>
          <w:rFonts w:hint="eastAsia" w:ascii="Times New Roman" w:hAnsi="Times New Roman" w:eastAsia="宋体" w:cs="Times New Roman"/>
          <w:sz w:val="24"/>
        </w:rPr>
        <w:t>（二）公共政策的基本特征与主要功能</w:t>
      </w:r>
    </w:p>
    <w:p>
      <w:pPr>
        <w:spacing w:line="420" w:lineRule="exact"/>
        <w:ind w:firstLine="480"/>
        <w:rPr>
          <w:rFonts w:ascii="Times New Roman" w:hAnsi="Times New Roman" w:eastAsia="宋体" w:cs="Times New Roman"/>
          <w:sz w:val="24"/>
        </w:rPr>
      </w:pPr>
      <w:r>
        <w:rPr>
          <w:rFonts w:hint="eastAsia" w:ascii="Times New Roman" w:hAnsi="Times New Roman" w:eastAsia="宋体" w:cs="Times New Roman"/>
          <w:sz w:val="24"/>
        </w:rPr>
        <w:t>（三）公共政策分析的要素与原则</w:t>
      </w:r>
    </w:p>
    <w:p>
      <w:pPr>
        <w:pStyle w:val="3"/>
        <w:spacing w:before="120" w:after="120" w:line="400" w:lineRule="exact"/>
        <w:ind w:firstLine="551" w:firstLineChars="196"/>
        <w:rPr>
          <w:rFonts w:ascii="宋体" w:hAnsi="宋体" w:eastAsia="宋体"/>
          <w:color w:val="000000"/>
          <w:sz w:val="28"/>
        </w:rPr>
      </w:pPr>
      <w:r>
        <w:rPr>
          <w:rFonts w:hint="eastAsia" w:ascii="宋体" w:hAnsi="宋体" w:eastAsia="宋体"/>
          <w:color w:val="000000"/>
          <w:sz w:val="28"/>
        </w:rPr>
        <w:t>第二章 政府、市场与公共政策的关系分析</w:t>
      </w:r>
    </w:p>
    <w:p>
      <w:pPr>
        <w:spacing w:line="420" w:lineRule="exact"/>
        <w:ind w:firstLine="480"/>
        <w:rPr>
          <w:rFonts w:ascii="Times New Roman" w:hAnsi="Times New Roman" w:eastAsia="宋体" w:cs="Times New Roman"/>
          <w:sz w:val="24"/>
        </w:rPr>
      </w:pPr>
      <w:r>
        <w:rPr>
          <w:rFonts w:hint="eastAsia" w:ascii="Times New Roman" w:hAnsi="Times New Roman" w:eastAsia="宋体" w:cs="Times New Roman"/>
          <w:sz w:val="24"/>
        </w:rPr>
        <w:t>（一）社会问题的解决途径</w:t>
      </w:r>
    </w:p>
    <w:p>
      <w:pPr>
        <w:spacing w:line="420" w:lineRule="exact"/>
        <w:ind w:firstLine="480"/>
        <w:rPr>
          <w:rFonts w:ascii="Times New Roman" w:hAnsi="Times New Roman" w:eastAsia="宋体" w:cs="Times New Roman"/>
          <w:sz w:val="24"/>
        </w:rPr>
      </w:pPr>
      <w:r>
        <w:rPr>
          <w:rFonts w:hint="eastAsia" w:ascii="Times New Roman" w:hAnsi="Times New Roman" w:eastAsia="宋体" w:cs="Times New Roman"/>
          <w:sz w:val="24"/>
        </w:rPr>
        <w:t>（二）市场、政府、志愿途径的各自优势与缺陷</w:t>
      </w:r>
    </w:p>
    <w:p>
      <w:pPr>
        <w:spacing w:line="420" w:lineRule="exact"/>
        <w:ind w:firstLine="480"/>
        <w:rPr>
          <w:rFonts w:ascii="Times New Roman" w:hAnsi="Times New Roman" w:eastAsia="宋体" w:cs="Times New Roman"/>
          <w:sz w:val="24"/>
        </w:rPr>
      </w:pPr>
      <w:r>
        <w:rPr>
          <w:rFonts w:hint="eastAsia" w:ascii="Times New Roman" w:hAnsi="Times New Roman" w:eastAsia="宋体" w:cs="Times New Roman"/>
          <w:sz w:val="24"/>
        </w:rPr>
        <w:t>（三）政府在公共政策过程中的角色定位</w:t>
      </w:r>
    </w:p>
    <w:p>
      <w:pPr>
        <w:pStyle w:val="3"/>
        <w:spacing w:before="120" w:after="120" w:line="400" w:lineRule="exact"/>
        <w:ind w:firstLine="551" w:firstLineChars="196"/>
        <w:rPr>
          <w:rFonts w:ascii="宋体" w:hAnsi="宋体" w:eastAsia="宋体"/>
          <w:color w:val="000000"/>
          <w:sz w:val="28"/>
        </w:rPr>
      </w:pPr>
      <w:r>
        <w:rPr>
          <w:rFonts w:hint="eastAsia" w:ascii="宋体" w:hAnsi="宋体" w:eastAsia="宋体"/>
          <w:color w:val="000000"/>
          <w:sz w:val="28"/>
        </w:rPr>
        <w:t>第三章 公共政策系统分析</w:t>
      </w:r>
    </w:p>
    <w:p>
      <w:pPr>
        <w:spacing w:line="420" w:lineRule="exact"/>
        <w:ind w:firstLine="480"/>
        <w:rPr>
          <w:rFonts w:ascii="Times New Roman" w:hAnsi="Times New Roman" w:eastAsia="宋体" w:cs="Times New Roman"/>
          <w:sz w:val="24"/>
        </w:rPr>
      </w:pPr>
      <w:r>
        <w:rPr>
          <w:rFonts w:hint="eastAsia" w:ascii="Times New Roman" w:hAnsi="Times New Roman" w:eastAsia="宋体" w:cs="Times New Roman"/>
          <w:sz w:val="24"/>
        </w:rPr>
        <w:t>（一）公共政策主体的含义及构成</w:t>
      </w:r>
    </w:p>
    <w:p>
      <w:pPr>
        <w:spacing w:line="420" w:lineRule="exact"/>
        <w:ind w:firstLine="480"/>
        <w:rPr>
          <w:rFonts w:ascii="Times New Roman" w:hAnsi="Times New Roman" w:eastAsia="宋体" w:cs="Times New Roman"/>
          <w:sz w:val="24"/>
        </w:rPr>
      </w:pPr>
      <w:r>
        <w:rPr>
          <w:rFonts w:hint="eastAsia" w:ascii="Times New Roman" w:hAnsi="Times New Roman" w:eastAsia="宋体" w:cs="Times New Roman"/>
          <w:sz w:val="24"/>
        </w:rPr>
        <w:t>（二）公共政策客体的含义及构成</w:t>
      </w:r>
    </w:p>
    <w:p>
      <w:pPr>
        <w:spacing w:line="420" w:lineRule="exact"/>
        <w:ind w:firstLine="480"/>
        <w:rPr>
          <w:rFonts w:ascii="Times New Roman" w:hAnsi="Times New Roman" w:eastAsia="宋体" w:cs="Times New Roman"/>
          <w:sz w:val="24"/>
        </w:rPr>
      </w:pPr>
      <w:r>
        <w:rPr>
          <w:rFonts w:hint="eastAsia" w:ascii="Times New Roman" w:hAnsi="Times New Roman" w:eastAsia="宋体" w:cs="Times New Roman"/>
          <w:sz w:val="24"/>
        </w:rPr>
        <w:t>（三）公共政策环境的含义及特点</w:t>
      </w:r>
    </w:p>
    <w:p>
      <w:pPr>
        <w:spacing w:line="420" w:lineRule="exact"/>
        <w:ind w:firstLine="480"/>
        <w:rPr>
          <w:rFonts w:ascii="Times New Roman" w:hAnsi="Times New Roman" w:eastAsia="宋体" w:cs="Times New Roman"/>
          <w:sz w:val="24"/>
        </w:rPr>
      </w:pPr>
      <w:r>
        <w:rPr>
          <w:rFonts w:hint="eastAsia" w:ascii="Times New Roman" w:hAnsi="Times New Roman" w:eastAsia="宋体" w:cs="Times New Roman"/>
          <w:sz w:val="24"/>
        </w:rPr>
        <w:t>（四）公共政策工具的含义及类型</w:t>
      </w:r>
    </w:p>
    <w:p>
      <w:pPr>
        <w:pStyle w:val="3"/>
        <w:spacing w:before="120" w:after="120" w:line="400" w:lineRule="exact"/>
        <w:ind w:firstLine="551" w:firstLineChars="196"/>
        <w:rPr>
          <w:rFonts w:ascii="宋体" w:hAnsi="宋体" w:eastAsia="宋体"/>
          <w:color w:val="000000"/>
          <w:sz w:val="28"/>
        </w:rPr>
      </w:pPr>
      <w:r>
        <w:rPr>
          <w:rFonts w:hint="eastAsia" w:ascii="宋体" w:hAnsi="宋体" w:eastAsia="宋体"/>
          <w:color w:val="000000"/>
          <w:sz w:val="28"/>
        </w:rPr>
        <w:t>第四章 公共政策问题的构建分析</w:t>
      </w:r>
    </w:p>
    <w:p>
      <w:pPr>
        <w:spacing w:line="420" w:lineRule="exact"/>
        <w:ind w:firstLine="480"/>
        <w:rPr>
          <w:rFonts w:ascii="Times New Roman" w:hAnsi="Times New Roman" w:eastAsia="宋体" w:cs="Times New Roman"/>
          <w:sz w:val="24"/>
        </w:rPr>
      </w:pPr>
      <w:r>
        <w:rPr>
          <w:rFonts w:hint="eastAsia" w:ascii="Times New Roman" w:hAnsi="Times New Roman" w:eastAsia="宋体" w:cs="Times New Roman"/>
          <w:sz w:val="24"/>
        </w:rPr>
        <w:t>（一）公共政策问题的内涵、特征与类型</w:t>
      </w:r>
    </w:p>
    <w:p>
      <w:pPr>
        <w:spacing w:line="420" w:lineRule="exact"/>
        <w:ind w:firstLine="480"/>
        <w:rPr>
          <w:rFonts w:ascii="Times New Roman" w:hAnsi="Times New Roman" w:eastAsia="宋体" w:cs="Times New Roman"/>
          <w:sz w:val="24"/>
        </w:rPr>
      </w:pPr>
      <w:r>
        <w:rPr>
          <w:rFonts w:hint="eastAsia" w:ascii="Times New Roman" w:hAnsi="Times New Roman" w:eastAsia="宋体" w:cs="Times New Roman"/>
          <w:sz w:val="24"/>
        </w:rPr>
        <w:t>（二）公共政策问题构建的一般程序</w:t>
      </w:r>
    </w:p>
    <w:p>
      <w:pPr>
        <w:spacing w:line="420" w:lineRule="exact"/>
        <w:ind w:firstLine="480"/>
        <w:rPr>
          <w:rFonts w:ascii="Times New Roman" w:hAnsi="Times New Roman" w:eastAsia="宋体" w:cs="Times New Roman"/>
          <w:sz w:val="24"/>
        </w:rPr>
      </w:pPr>
      <w:r>
        <w:rPr>
          <w:rFonts w:hint="eastAsia" w:ascii="Times New Roman" w:hAnsi="Times New Roman" w:eastAsia="宋体" w:cs="Times New Roman"/>
          <w:sz w:val="24"/>
        </w:rPr>
        <w:t>（三）社会问题进入政策议程的影响因素与触发机制</w:t>
      </w:r>
    </w:p>
    <w:p>
      <w:pPr>
        <w:pStyle w:val="3"/>
        <w:spacing w:before="120" w:after="120" w:line="400" w:lineRule="exact"/>
        <w:ind w:firstLine="551" w:firstLineChars="196"/>
        <w:rPr>
          <w:rFonts w:ascii="宋体" w:hAnsi="宋体" w:eastAsia="宋体"/>
          <w:color w:val="000000"/>
          <w:sz w:val="28"/>
        </w:rPr>
      </w:pPr>
      <w:r>
        <w:rPr>
          <w:rFonts w:hint="eastAsia" w:ascii="宋体" w:hAnsi="宋体" w:eastAsia="宋体"/>
          <w:color w:val="000000"/>
          <w:sz w:val="28"/>
        </w:rPr>
        <w:t>第五章 公共政策方案的制定分析</w:t>
      </w:r>
    </w:p>
    <w:p>
      <w:pPr>
        <w:spacing w:line="420" w:lineRule="exact"/>
        <w:ind w:firstLine="480"/>
        <w:rPr>
          <w:rFonts w:ascii="Times New Roman" w:hAnsi="Times New Roman" w:eastAsia="宋体" w:cs="Times New Roman"/>
          <w:sz w:val="24"/>
        </w:rPr>
      </w:pPr>
      <w:r>
        <w:rPr>
          <w:rFonts w:hint="eastAsia" w:ascii="Times New Roman" w:hAnsi="Times New Roman" w:eastAsia="宋体" w:cs="Times New Roman"/>
          <w:sz w:val="24"/>
        </w:rPr>
        <w:t>（一）公共决策体制的含义与构成</w:t>
      </w:r>
    </w:p>
    <w:p>
      <w:pPr>
        <w:spacing w:line="420" w:lineRule="exact"/>
        <w:ind w:firstLine="480"/>
        <w:rPr>
          <w:rFonts w:ascii="Times New Roman" w:hAnsi="Times New Roman" w:eastAsia="宋体" w:cs="Times New Roman"/>
          <w:sz w:val="24"/>
        </w:rPr>
      </w:pPr>
      <w:r>
        <w:rPr>
          <w:rFonts w:hint="eastAsia" w:ascii="Times New Roman" w:hAnsi="Times New Roman" w:eastAsia="宋体" w:cs="Times New Roman"/>
          <w:sz w:val="24"/>
        </w:rPr>
        <w:t>（二）政策方案规划的特性与原则</w:t>
      </w:r>
    </w:p>
    <w:p>
      <w:pPr>
        <w:spacing w:line="420" w:lineRule="exact"/>
        <w:ind w:firstLine="480"/>
        <w:rPr>
          <w:rFonts w:ascii="Times New Roman" w:hAnsi="Times New Roman" w:eastAsia="宋体" w:cs="Times New Roman"/>
          <w:sz w:val="24"/>
        </w:rPr>
      </w:pPr>
      <w:r>
        <w:rPr>
          <w:rFonts w:hint="eastAsia" w:ascii="Times New Roman" w:hAnsi="Times New Roman" w:eastAsia="宋体" w:cs="Times New Roman"/>
          <w:sz w:val="24"/>
        </w:rPr>
        <w:t>（三）政策方案规划的基本程序</w:t>
      </w:r>
    </w:p>
    <w:p>
      <w:pPr>
        <w:spacing w:line="420" w:lineRule="exact"/>
        <w:ind w:firstLine="480"/>
        <w:rPr>
          <w:rFonts w:ascii="Times New Roman" w:hAnsi="Times New Roman" w:eastAsia="宋体" w:cs="Times New Roman"/>
          <w:sz w:val="24"/>
        </w:rPr>
      </w:pPr>
      <w:r>
        <w:rPr>
          <w:rFonts w:hint="eastAsia" w:ascii="Times New Roman" w:hAnsi="Times New Roman" w:eastAsia="宋体" w:cs="Times New Roman"/>
          <w:sz w:val="24"/>
        </w:rPr>
        <w:t>（四）公共政策合法化的概念与程序</w:t>
      </w:r>
    </w:p>
    <w:p>
      <w:pPr>
        <w:pStyle w:val="3"/>
        <w:spacing w:before="120" w:after="120" w:line="400" w:lineRule="exact"/>
        <w:ind w:firstLine="551" w:firstLineChars="196"/>
        <w:rPr>
          <w:rFonts w:ascii="宋体" w:hAnsi="宋体" w:eastAsia="宋体"/>
          <w:color w:val="000000"/>
          <w:sz w:val="28"/>
        </w:rPr>
      </w:pPr>
      <w:r>
        <w:rPr>
          <w:rFonts w:hint="eastAsia" w:ascii="宋体" w:hAnsi="宋体" w:eastAsia="宋体"/>
          <w:color w:val="000000"/>
          <w:sz w:val="28"/>
        </w:rPr>
        <w:t>第六章 公共政策内容的执行分析</w:t>
      </w:r>
    </w:p>
    <w:p>
      <w:pPr>
        <w:spacing w:line="420" w:lineRule="exact"/>
        <w:ind w:firstLine="480"/>
        <w:rPr>
          <w:rFonts w:ascii="Times New Roman" w:hAnsi="Times New Roman" w:eastAsia="宋体" w:cs="Times New Roman"/>
          <w:sz w:val="24"/>
        </w:rPr>
      </w:pPr>
      <w:r>
        <w:rPr>
          <w:rFonts w:hint="eastAsia" w:ascii="Times New Roman" w:hAnsi="Times New Roman" w:eastAsia="宋体" w:cs="Times New Roman"/>
          <w:sz w:val="24"/>
        </w:rPr>
        <w:t>（一）公共政策执行研究的自上而下、自下而上以及综合型途径</w:t>
      </w:r>
    </w:p>
    <w:p>
      <w:pPr>
        <w:spacing w:line="420" w:lineRule="exact"/>
        <w:ind w:firstLine="480"/>
        <w:rPr>
          <w:rFonts w:ascii="Times New Roman" w:hAnsi="Times New Roman" w:eastAsia="宋体" w:cs="Times New Roman"/>
          <w:sz w:val="24"/>
        </w:rPr>
      </w:pPr>
      <w:r>
        <w:rPr>
          <w:rFonts w:hint="eastAsia" w:ascii="Times New Roman" w:hAnsi="Times New Roman" w:eastAsia="宋体" w:cs="Times New Roman"/>
          <w:sz w:val="24"/>
        </w:rPr>
        <w:t>（二）公共政策执行的过程、系统、互适与循环模型</w:t>
      </w:r>
    </w:p>
    <w:p>
      <w:pPr>
        <w:spacing w:line="420" w:lineRule="exact"/>
        <w:ind w:firstLine="480"/>
        <w:rPr>
          <w:rFonts w:ascii="Times New Roman" w:hAnsi="Times New Roman" w:eastAsia="宋体" w:cs="Times New Roman"/>
          <w:sz w:val="24"/>
        </w:rPr>
      </w:pPr>
      <w:r>
        <w:rPr>
          <w:rFonts w:hint="eastAsia" w:ascii="Times New Roman" w:hAnsi="Times New Roman" w:eastAsia="宋体" w:cs="Times New Roman"/>
          <w:sz w:val="24"/>
        </w:rPr>
        <w:t>（三）公共政策执行的一般过程与主要手段</w:t>
      </w:r>
    </w:p>
    <w:p>
      <w:pPr>
        <w:pStyle w:val="3"/>
        <w:spacing w:before="120" w:after="120" w:line="400" w:lineRule="exact"/>
        <w:ind w:firstLine="551" w:firstLineChars="196"/>
        <w:rPr>
          <w:rFonts w:ascii="宋体" w:hAnsi="宋体" w:eastAsia="宋体"/>
          <w:color w:val="000000"/>
          <w:sz w:val="28"/>
        </w:rPr>
      </w:pPr>
      <w:r>
        <w:rPr>
          <w:rFonts w:hint="eastAsia" w:ascii="宋体" w:hAnsi="宋体" w:eastAsia="宋体"/>
          <w:color w:val="000000"/>
          <w:sz w:val="28"/>
        </w:rPr>
        <w:t>第七章 公共政策效果的评价分析</w:t>
      </w:r>
    </w:p>
    <w:p>
      <w:pPr>
        <w:spacing w:line="420" w:lineRule="exact"/>
        <w:ind w:firstLine="480"/>
        <w:rPr>
          <w:rFonts w:ascii="Times New Roman" w:hAnsi="Times New Roman" w:eastAsia="宋体" w:cs="Times New Roman"/>
          <w:sz w:val="24"/>
        </w:rPr>
      </w:pPr>
      <w:r>
        <w:rPr>
          <w:rFonts w:hint="eastAsia" w:ascii="Times New Roman" w:hAnsi="Times New Roman" w:eastAsia="宋体" w:cs="Times New Roman"/>
          <w:sz w:val="24"/>
        </w:rPr>
        <w:t>（一）公共政策评价内涵、类型以及基本方法</w:t>
      </w:r>
    </w:p>
    <w:p>
      <w:pPr>
        <w:spacing w:line="420" w:lineRule="exact"/>
        <w:ind w:firstLine="480"/>
        <w:rPr>
          <w:rFonts w:ascii="Times New Roman" w:hAnsi="Times New Roman" w:eastAsia="宋体" w:cs="Times New Roman"/>
          <w:sz w:val="24"/>
        </w:rPr>
      </w:pPr>
      <w:r>
        <w:rPr>
          <w:rFonts w:hint="eastAsia" w:ascii="Times New Roman" w:hAnsi="Times New Roman" w:eastAsia="宋体" w:cs="Times New Roman"/>
          <w:sz w:val="24"/>
        </w:rPr>
        <w:t>（二）公共政策评价的影响因素与操作程序</w:t>
      </w:r>
    </w:p>
    <w:p>
      <w:pPr>
        <w:spacing w:line="420" w:lineRule="exact"/>
        <w:ind w:firstLine="480"/>
        <w:rPr>
          <w:rFonts w:ascii="Times New Roman" w:hAnsi="Times New Roman" w:eastAsia="宋体" w:cs="Times New Roman"/>
          <w:sz w:val="24"/>
        </w:rPr>
      </w:pPr>
      <w:r>
        <w:rPr>
          <w:rFonts w:hint="eastAsia" w:ascii="Times New Roman" w:hAnsi="Times New Roman" w:eastAsia="宋体" w:cs="Times New Roman"/>
          <w:sz w:val="24"/>
        </w:rPr>
        <w:t>（三）公共政策终止的含义与方式</w:t>
      </w:r>
    </w:p>
    <w:p>
      <w:pPr>
        <w:pStyle w:val="3"/>
        <w:spacing w:before="120" w:after="120" w:line="400" w:lineRule="exact"/>
        <w:ind w:firstLine="551" w:firstLineChars="196"/>
        <w:rPr>
          <w:rFonts w:ascii="宋体" w:hAnsi="宋体" w:eastAsia="宋体"/>
          <w:color w:val="000000"/>
          <w:sz w:val="28"/>
        </w:rPr>
      </w:pPr>
      <w:r>
        <w:rPr>
          <w:rFonts w:hint="eastAsia" w:ascii="宋体" w:hAnsi="宋体" w:eastAsia="宋体"/>
          <w:color w:val="000000"/>
          <w:sz w:val="28"/>
        </w:rPr>
        <w:t>第八章 公共政策分析方法论</w:t>
      </w:r>
    </w:p>
    <w:p>
      <w:pPr>
        <w:spacing w:line="420" w:lineRule="exact"/>
        <w:ind w:firstLine="480"/>
        <w:rPr>
          <w:rFonts w:ascii="Times New Roman" w:hAnsi="Times New Roman" w:eastAsia="宋体" w:cs="Times New Roman"/>
          <w:sz w:val="24"/>
        </w:rPr>
      </w:pPr>
      <w:r>
        <w:rPr>
          <w:rFonts w:hint="eastAsia" w:ascii="Times New Roman" w:hAnsi="Times New Roman" w:eastAsia="宋体" w:cs="Times New Roman"/>
          <w:sz w:val="24"/>
        </w:rPr>
        <w:t>（一）事实、价值、规范与可行性分析方法</w:t>
      </w:r>
    </w:p>
    <w:p>
      <w:pPr>
        <w:spacing w:line="420" w:lineRule="exact"/>
        <w:ind w:firstLine="480"/>
        <w:rPr>
          <w:rFonts w:ascii="Times New Roman" w:hAnsi="Times New Roman" w:eastAsia="宋体" w:cs="Times New Roman"/>
          <w:sz w:val="24"/>
        </w:rPr>
      </w:pPr>
      <w:r>
        <w:rPr>
          <w:rFonts w:hint="eastAsia" w:ascii="Times New Roman" w:hAnsi="Times New Roman" w:eastAsia="宋体" w:cs="Times New Roman"/>
          <w:sz w:val="24"/>
        </w:rPr>
        <w:t>（二）利益分析的内容及其实现途径</w:t>
      </w:r>
    </w:p>
    <w:p>
      <w:pPr>
        <w:spacing w:line="420" w:lineRule="exact"/>
        <w:ind w:firstLine="480"/>
        <w:rPr>
          <w:rFonts w:ascii="Times New Roman" w:hAnsi="Times New Roman" w:eastAsia="宋体" w:cs="Times New Roman"/>
          <w:sz w:val="24"/>
        </w:rPr>
      </w:pPr>
      <w:r>
        <w:rPr>
          <w:rFonts w:hint="eastAsia" w:ascii="Times New Roman" w:hAnsi="Times New Roman" w:eastAsia="宋体" w:cs="Times New Roman"/>
          <w:sz w:val="24"/>
        </w:rPr>
        <w:t>（三）系统分析的内容与过程</w:t>
      </w:r>
    </w:p>
    <w:p>
      <w:pPr>
        <w:pStyle w:val="3"/>
        <w:spacing w:before="120" w:after="120" w:line="400" w:lineRule="exact"/>
        <w:ind w:firstLine="551" w:firstLineChars="196"/>
        <w:rPr>
          <w:rFonts w:ascii="宋体" w:hAnsi="宋体" w:eastAsia="宋体"/>
          <w:color w:val="000000"/>
          <w:sz w:val="28"/>
        </w:rPr>
      </w:pPr>
      <w:r>
        <w:rPr>
          <w:rFonts w:hint="eastAsia" w:ascii="宋体" w:hAnsi="宋体" w:eastAsia="宋体"/>
          <w:color w:val="000000"/>
          <w:sz w:val="28"/>
        </w:rPr>
        <w:t>第九章 公共政策过程中的分析方法</w:t>
      </w:r>
    </w:p>
    <w:p>
      <w:pPr>
        <w:spacing w:line="420" w:lineRule="exact"/>
        <w:ind w:firstLine="480"/>
        <w:rPr>
          <w:rFonts w:ascii="Times New Roman" w:hAnsi="Times New Roman" w:eastAsia="宋体" w:cs="Times New Roman"/>
          <w:sz w:val="24"/>
        </w:rPr>
      </w:pPr>
      <w:r>
        <w:rPr>
          <w:rFonts w:hint="eastAsia" w:ascii="Times New Roman" w:hAnsi="Times New Roman" w:eastAsia="宋体" w:cs="Times New Roman"/>
          <w:sz w:val="24"/>
        </w:rPr>
        <w:t>（一）公共政策问题建构的观察法</w:t>
      </w:r>
    </w:p>
    <w:p>
      <w:pPr>
        <w:spacing w:line="420" w:lineRule="exact"/>
        <w:ind w:firstLine="480"/>
        <w:rPr>
          <w:rFonts w:ascii="Times New Roman" w:hAnsi="Times New Roman" w:eastAsia="宋体" w:cs="Times New Roman"/>
          <w:sz w:val="24"/>
        </w:rPr>
      </w:pPr>
      <w:r>
        <w:rPr>
          <w:rFonts w:hint="eastAsia" w:ascii="Times New Roman" w:hAnsi="Times New Roman" w:eastAsia="宋体" w:cs="Times New Roman"/>
          <w:sz w:val="24"/>
        </w:rPr>
        <w:t>（二）政策备择方案优化的效用分析与决策树法</w:t>
      </w:r>
    </w:p>
    <w:p>
      <w:pPr>
        <w:spacing w:line="420" w:lineRule="exact"/>
        <w:ind w:firstLine="480"/>
        <w:rPr>
          <w:rFonts w:ascii="Times New Roman" w:hAnsi="Times New Roman" w:eastAsia="宋体" w:cs="Times New Roman"/>
          <w:sz w:val="24"/>
        </w:rPr>
      </w:pPr>
      <w:r>
        <w:rPr>
          <w:rFonts w:hint="eastAsia" w:ascii="Times New Roman" w:hAnsi="Times New Roman" w:eastAsia="宋体" w:cs="Times New Roman"/>
          <w:sz w:val="24"/>
        </w:rPr>
        <w:t>（三）因果预测方法</w:t>
      </w:r>
    </w:p>
    <w:p>
      <w:pPr>
        <w:spacing w:line="420" w:lineRule="exact"/>
        <w:ind w:firstLine="480"/>
        <w:rPr>
          <w:rFonts w:ascii="Times New Roman" w:hAnsi="Times New Roman" w:eastAsia="宋体" w:cs="Times New Roman"/>
          <w:sz w:val="24"/>
        </w:rPr>
      </w:pPr>
      <w:r>
        <w:rPr>
          <w:rFonts w:hint="eastAsia" w:ascii="Times New Roman" w:hAnsi="Times New Roman" w:eastAsia="宋体" w:cs="Times New Roman"/>
          <w:sz w:val="24"/>
        </w:rPr>
        <w:t>（四）公共政策的成本效益分析</w:t>
      </w:r>
    </w:p>
    <w:p>
      <w:pPr>
        <w:pStyle w:val="3"/>
        <w:spacing w:before="120" w:after="120" w:line="400" w:lineRule="exact"/>
        <w:ind w:firstLine="551" w:firstLineChars="196"/>
        <w:rPr>
          <w:rFonts w:ascii="宋体" w:hAnsi="宋体" w:eastAsia="宋体"/>
          <w:color w:val="000000"/>
          <w:sz w:val="28"/>
        </w:rPr>
      </w:pPr>
      <w:r>
        <w:rPr>
          <w:rFonts w:hint="eastAsia" w:ascii="宋体" w:hAnsi="宋体" w:eastAsia="宋体"/>
          <w:color w:val="000000"/>
          <w:sz w:val="28"/>
        </w:rPr>
        <w:t>第十章 公共政策分析模型与框架</w:t>
      </w:r>
    </w:p>
    <w:p>
      <w:pPr>
        <w:spacing w:line="420" w:lineRule="exact"/>
        <w:ind w:firstLine="480"/>
        <w:rPr>
          <w:rFonts w:ascii="Times New Roman" w:hAnsi="Times New Roman" w:eastAsia="宋体" w:cs="Times New Roman"/>
          <w:sz w:val="24"/>
        </w:rPr>
      </w:pPr>
      <w:r>
        <w:rPr>
          <w:rFonts w:hint="eastAsia" w:ascii="Times New Roman" w:hAnsi="Times New Roman" w:eastAsia="宋体" w:cs="Times New Roman"/>
          <w:sz w:val="24"/>
        </w:rPr>
        <w:t>（一）公共政策的制度分析与集团分析模型</w:t>
      </w:r>
    </w:p>
    <w:p>
      <w:pPr>
        <w:spacing w:line="420" w:lineRule="exact"/>
        <w:ind w:firstLine="480"/>
        <w:rPr>
          <w:rFonts w:ascii="Times New Roman" w:hAnsi="Times New Roman" w:eastAsia="宋体" w:cs="Times New Roman"/>
          <w:sz w:val="24"/>
        </w:rPr>
      </w:pPr>
      <w:r>
        <w:rPr>
          <w:rFonts w:hint="eastAsia" w:ascii="Times New Roman" w:hAnsi="Times New Roman" w:eastAsia="宋体" w:cs="Times New Roman"/>
          <w:sz w:val="24"/>
        </w:rPr>
        <w:t>（二）公共政策的有限理性决策与渐进决策模型</w:t>
      </w:r>
    </w:p>
    <w:p>
      <w:pPr>
        <w:spacing w:line="420" w:lineRule="exact"/>
        <w:ind w:firstLine="480"/>
        <w:rPr>
          <w:rFonts w:ascii="Times New Roman" w:hAnsi="Times New Roman" w:eastAsia="宋体" w:cs="Times New Roman"/>
          <w:sz w:val="24"/>
        </w:rPr>
      </w:pPr>
      <w:r>
        <w:rPr>
          <w:rFonts w:hint="eastAsia" w:ascii="Times New Roman" w:hAnsi="Times New Roman" w:eastAsia="宋体" w:cs="Times New Roman"/>
          <w:sz w:val="24"/>
        </w:rPr>
        <w:t>（三）公共政策的支持联盟分析框架</w:t>
      </w:r>
    </w:p>
    <w:p>
      <w:pPr>
        <w:spacing w:line="420" w:lineRule="exact"/>
        <w:ind w:firstLine="480"/>
        <w:rPr>
          <w:rFonts w:ascii="Times New Roman" w:hAnsi="Times New Roman" w:eastAsia="宋体" w:cs="Times New Roman"/>
          <w:sz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16430651"/>
      <w:docPartObj>
        <w:docPartGallery w:val="AutoText"/>
      </w:docPartObj>
    </w:sdtPr>
    <w:sdtContent>
      <w:p>
        <w:pPr>
          <w:pStyle w:val="4"/>
          <w:jc w:val="center"/>
        </w:pPr>
        <w:r>
          <w:fldChar w:fldCharType="begin"/>
        </w:r>
        <w:r>
          <w:instrText xml:space="preserve">PAGE   \* MERGEFORMAT</w:instrText>
        </w:r>
        <w:r>
          <w:fldChar w:fldCharType="separate"/>
        </w:r>
        <w:r>
          <w:rPr>
            <w:lang w:val="zh-CN"/>
          </w:rPr>
          <w:t>3</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8E6"/>
    <w:rsid w:val="002C5D2D"/>
    <w:rsid w:val="003158E6"/>
    <w:rsid w:val="003969E1"/>
    <w:rsid w:val="003D1A68"/>
    <w:rsid w:val="004027B4"/>
    <w:rsid w:val="00412125"/>
    <w:rsid w:val="0071786B"/>
    <w:rsid w:val="008501BC"/>
    <w:rsid w:val="008A7DEC"/>
    <w:rsid w:val="00913BFA"/>
    <w:rsid w:val="00960E35"/>
    <w:rsid w:val="00A0230E"/>
    <w:rsid w:val="00A05831"/>
    <w:rsid w:val="00C42561"/>
    <w:rsid w:val="00D35055"/>
    <w:rsid w:val="00D51D25"/>
    <w:rsid w:val="00D610A5"/>
    <w:rsid w:val="00E07D1F"/>
    <w:rsid w:val="00F218AE"/>
    <w:rsid w:val="00F500AD"/>
    <w:rsid w:val="00FC4664"/>
    <w:rsid w:val="76E305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13"/>
    <w:qFormat/>
    <w:uiPriority w:val="0"/>
    <w:pPr>
      <w:keepNext/>
      <w:keepLines/>
      <w:spacing w:before="260" w:after="260" w:line="416" w:lineRule="auto"/>
      <w:outlineLvl w:val="1"/>
    </w:pPr>
    <w:rPr>
      <w:rFonts w:ascii="Arial" w:hAnsi="Arial" w:eastAsia="黑体" w:cs="Times New Roman"/>
      <w:b/>
      <w:bCs/>
      <w:sz w:val="32"/>
      <w:szCs w:val="32"/>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footer"/>
    <w:basedOn w:val="1"/>
    <w:link w:val="15"/>
    <w:unhideWhenUsed/>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unhideWhenUsed/>
    <w:uiPriority w:val="39"/>
  </w:style>
  <w:style w:type="paragraph" w:styleId="7">
    <w:name w:val="toc 2"/>
    <w:basedOn w:val="1"/>
    <w:next w:val="1"/>
    <w:unhideWhenUsed/>
    <w:uiPriority w:val="39"/>
    <w:pPr>
      <w:ind w:left="420" w:leftChars="200"/>
    </w:pPr>
  </w:style>
  <w:style w:type="character" w:styleId="10">
    <w:name w:val="Hyperlink"/>
    <w:basedOn w:val="9"/>
    <w:unhideWhenUsed/>
    <w:uiPriority w:val="99"/>
    <w:rPr>
      <w:color w:val="0000FF" w:themeColor="hyperlink"/>
      <w:u w:val="single"/>
      <w14:textFill>
        <w14:solidFill>
          <w14:schemeClr w14:val="hlink"/>
        </w14:solidFill>
      </w14:textFill>
    </w:rPr>
  </w:style>
  <w:style w:type="character" w:customStyle="1" w:styleId="11">
    <w:name w:val="标题 1 Char"/>
    <w:basedOn w:val="9"/>
    <w:link w:val="2"/>
    <w:uiPriority w:val="0"/>
    <w:rPr>
      <w:rFonts w:ascii="Times New Roman" w:hAnsi="Times New Roman" w:eastAsia="宋体" w:cs="Times New Roman"/>
      <w:b/>
      <w:bCs/>
      <w:kern w:val="44"/>
      <w:sz w:val="44"/>
      <w:szCs w:val="44"/>
    </w:rPr>
  </w:style>
  <w:style w:type="paragraph" w:customStyle="1" w:styleId="12">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13">
    <w:name w:val="标题 2 Char"/>
    <w:basedOn w:val="9"/>
    <w:link w:val="3"/>
    <w:uiPriority w:val="0"/>
    <w:rPr>
      <w:rFonts w:ascii="Arial" w:hAnsi="Arial" w:eastAsia="黑体" w:cs="Times New Roman"/>
      <w:b/>
      <w:bCs/>
      <w:sz w:val="32"/>
      <w:szCs w:val="32"/>
    </w:rPr>
  </w:style>
  <w:style w:type="character" w:customStyle="1" w:styleId="14">
    <w:name w:val="页眉 Char"/>
    <w:basedOn w:val="9"/>
    <w:link w:val="5"/>
    <w:uiPriority w:val="99"/>
    <w:rPr>
      <w:sz w:val="18"/>
      <w:szCs w:val="18"/>
    </w:rPr>
  </w:style>
  <w:style w:type="character" w:customStyle="1" w:styleId="15">
    <w:name w:val="页脚 Char"/>
    <w:basedOn w:val="9"/>
    <w:link w:val="4"/>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8BDECA-9DC0-40F8-95C6-0B555A93EE68}">
  <ds:schemaRefs/>
</ds:datastoreItem>
</file>

<file path=docProps/app.xml><?xml version="1.0" encoding="utf-8"?>
<Properties xmlns="http://schemas.openxmlformats.org/officeDocument/2006/extended-properties" xmlns:vt="http://schemas.openxmlformats.org/officeDocument/2006/docPropsVTypes">
  <Template>Normal</Template>
  <Pages>3</Pages>
  <Words>204</Words>
  <Characters>1169</Characters>
  <Lines>9</Lines>
  <Paragraphs>2</Paragraphs>
  <TotalTime>0</TotalTime>
  <ScaleCrop>false</ScaleCrop>
  <LinksUpToDate>false</LinksUpToDate>
  <CharactersWithSpaces>1371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2022-03-02T02:27:00Z</dcterms:created>
  <dc:creator>A</dc:creator>
  <cp:lastModifiedBy>柳劲</cp:lastModifiedBy>
  <dcterms:modified xsi:type="dcterms:W3CDTF">2022-03-03T10:24:26Z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F58EC37435CB48F4885C052E35FC6551</vt:lpwstr>
  </property>
</Properties>
</file>