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CC1" w:rsidRDefault="003A34FF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湖南人文科技学院</w:t>
      </w:r>
      <w:r>
        <w:rPr>
          <w:rFonts w:ascii="Mongolian Baiti" w:eastAsia="华文中宋" w:hAnsi="Mongolian Baiti" w:cs="Mongolian Baiti"/>
          <w:b/>
          <w:bCs/>
          <w:sz w:val="36"/>
          <w:szCs w:val="36"/>
        </w:rPr>
        <w:t>2024</w:t>
      </w: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年“专升本”招生考试</w:t>
      </w:r>
    </w:p>
    <w:p w:rsidR="00655CC1" w:rsidRDefault="003A34FF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《财务会计学》科目考试要求</w:t>
      </w:r>
    </w:p>
    <w:p w:rsidR="00655CC1" w:rsidRDefault="00655CC1">
      <w:pPr>
        <w:pStyle w:val="a3"/>
        <w:spacing w:line="360" w:lineRule="auto"/>
        <w:jc w:val="center"/>
        <w:rPr>
          <w:rFonts w:ascii="黑体" w:eastAsia="黑体" w:hAnsi="黑体" w:cs="宋体"/>
          <w:b/>
          <w:sz w:val="32"/>
          <w:szCs w:val="32"/>
        </w:rPr>
      </w:pPr>
    </w:p>
    <w:p w:rsidR="00655CC1" w:rsidRDefault="003A34FF" w:rsidP="00806180">
      <w:pPr>
        <w:jc w:val="left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I．考试内容与要求</w:t>
      </w:r>
    </w:p>
    <w:p w:rsidR="00655CC1" w:rsidRDefault="003A34FF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="宋体" w:hAnsi="宋体" w:cs="宋体" w:hint="eastAsia"/>
          <w:sz w:val="24"/>
        </w:rPr>
        <w:t>本科目考试内容涵盖财务会计学和财务管理学的概述、基础知识、会计六大要素、财务报表、货币的时间价值、财务分析、筹融资、资本成本与资本结构、资本预算、资本运营及股利分配等方面的内容，</w:t>
      </w:r>
      <w:r>
        <w:rPr>
          <w:rFonts w:asciiTheme="majorEastAsia" w:eastAsiaTheme="majorEastAsia" w:hAnsiTheme="majorEastAsia" w:cstheme="majorEastAsia" w:hint="eastAsia"/>
          <w:sz w:val="24"/>
        </w:rPr>
        <w:t>主要考查考生识记、理解、分析、综合应用能力。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一、财务会计概论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>了解会计的目标、对象；理解会计的基础、基本假设、信息质量要求；掌握会计的概念、基本职能及会计基本方法；熟练掌握会计的基本职能；会运用会计基础知识解决实际问题。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二、会计基础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（1）了解会计要素的概念；理解会计要素的内容；掌握会计要素的内涵及特征；熟练掌握会计六大要素之间的关系；会运用会计要素之间关系解决实际问题。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（2）了解会计科目与账户的概念及分类标准；理解账户与会计科目之间的关系；掌握会计科目的设置原则；熟练掌握账户基本结构；会运用账户之间关系解决实际问题。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（3）了解借贷记账法的来源；理解借贷记账法的概念；掌握借贷记账法的规则；熟练掌握借贷记账法的运用；会运用借贷记账法的规则解决企业主要经济业务中的核算。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（4）了解会计凭证的概念及种类；理解原始凭证与记账凭证的本质区别；掌握原始凭证与记账凭证的填制内容与要求；熟练掌握会计凭证审核的要点与要求；会运用会计凭证基础知识解决实际问题。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了解会计账簿的概念及种类；理解会计账簿与会计凭证之间的关系；掌握账簿的设置与登记方法；熟练掌握对账与结账的方法与程序、错账更正的方法，财产清查的内容与方法；会系统运用会计知识解决实际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三、会计要素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1.流动资产</w:t>
      </w:r>
    </w:p>
    <w:p w:rsidR="00655CC1" w:rsidRDefault="003A34F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（1）了解货币资金的性质；理解货币资金的内容；掌握库存现金的管理、收付与清查；掌握银行存款的管理、结算、收付与核对；熟练掌握库存现金使用范围；熟练掌握其他货币资金收</w:t>
      </w:r>
      <w:proofErr w:type="gramStart"/>
      <w:r>
        <w:rPr>
          <w:rFonts w:ascii="宋体" w:hAnsi="宋体" w:hint="eastAsia"/>
          <w:sz w:val="24"/>
        </w:rPr>
        <w:t>付业</w:t>
      </w:r>
      <w:proofErr w:type="gramEnd"/>
      <w:r>
        <w:rPr>
          <w:rFonts w:ascii="宋体" w:hAnsi="宋体" w:hint="eastAsia"/>
          <w:sz w:val="24"/>
        </w:rPr>
        <w:t>务核算；会运用货币资金的内部控制制度解决实际问题。</w:t>
      </w:r>
    </w:p>
    <w:p w:rsidR="00655CC1" w:rsidRDefault="003A34F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了解金融资产的内容及分类；理解交易性金融资产的特点；掌握交易性金融资产的业务核算；熟练掌握交易性金融资产取得、持有、期末计价与出售的相关业务处理；会运用交易性金融资产的知识解决业务核算问题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11FD1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）了解存货的界定；理解存货的核算范围；掌握存货的初始确认与计量、存货的取得与发出、存货的期末计价与清查方法。熟练掌握存货进、出的相关业务核算；会运用存货知识解决实务处理问题。</w:t>
      </w:r>
    </w:p>
    <w:p w:rsidR="00655CC1" w:rsidRDefault="003A34F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911FD1"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）了解往来款项的概念；理解往来款项相关核算内容；掌握应收与预付款项的相关业务核算；熟练掌握应收款项的坏账计提方法与核算。会运用相关知识处理往来业务核算问题。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2.非流动资产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（1）了解长期股权投资的概念；理解长期股权投资的范围，后续计量方法的转换，长期股权投资减值的核算方法；掌握同</w:t>
      </w:r>
      <w:proofErr w:type="gramStart"/>
      <w:r>
        <w:rPr>
          <w:rFonts w:ascii="宋体" w:hAnsi="宋体" w:hint="eastAsia"/>
          <w:sz w:val="24"/>
        </w:rPr>
        <w:t>一控制</w:t>
      </w:r>
      <w:proofErr w:type="gramEnd"/>
      <w:r>
        <w:rPr>
          <w:rFonts w:ascii="宋体" w:hAnsi="宋体" w:hint="eastAsia"/>
          <w:sz w:val="24"/>
        </w:rPr>
        <w:t>下和非同</w:t>
      </w:r>
      <w:proofErr w:type="gramStart"/>
      <w:r>
        <w:rPr>
          <w:rFonts w:ascii="宋体" w:hAnsi="宋体" w:hint="eastAsia"/>
          <w:sz w:val="24"/>
        </w:rPr>
        <w:t>一控</w:t>
      </w:r>
      <w:proofErr w:type="gramEnd"/>
      <w:r>
        <w:rPr>
          <w:rFonts w:ascii="宋体" w:hAnsi="宋体" w:hint="eastAsia"/>
          <w:sz w:val="24"/>
        </w:rPr>
        <w:t>制下企业合并形成的长期股权投资初始投资成本的确定方法，以非企业合并方式取得的长期股权投资初始成本的确定方法；熟练掌握长期股权投资后续计量的成本法和权益法；在实务中会运用长期股权投资相关知识进行业务核算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了解固定资产的概念和确认；理解固定资产的分类；掌握影响固定资产折旧的因素和计提固定资产折旧的范围，固定资产的清理核算的内容；掌握固定资产入账价值的确定，固定资产取得的核算；熟练掌握计算折旧的方法及提取折旧的核算，固定资产盘盈、盘亏的会计处理方法，固定资产清理的核算方法；在实务中会运用固定资产相关知识解决实际业务问题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了解无形资产的概念、特征；理解无形资产的内容及分类；掌握无形资产入账价值和摊销期限的确定；熟练掌握外购、内部研发形成无形资产的核算，无形资产摊销的核算；会运用无形资产基本业务知识解决实务处理问题。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（4）了解投资性房地产的定义与特征；理解投资性房地产的范围；掌握投资性房地产入账成本的确定，房地产的转换与处置；熟练掌握</w:t>
      </w:r>
      <w:r>
        <w:rPr>
          <w:rFonts w:ascii="宋体" w:hAnsi="宋体"/>
          <w:sz w:val="24"/>
        </w:rPr>
        <w:t>投资性房地产入账成本的确定</w:t>
      </w:r>
      <w:r>
        <w:rPr>
          <w:rFonts w:ascii="宋体" w:hAnsi="宋体" w:hint="eastAsia"/>
          <w:sz w:val="24"/>
        </w:rPr>
        <w:t>，投资性房地产成本模式、公允价值模式的核算；会运用投资性房地产财务知识解决业务核算问题。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3.流动负债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流动负债的概念、内容与分类；理解应付票据的核算内容、应付职工薪酬的内容、应交税费核算的内容、其他应付款的内容；掌握应付账款入账价值的确定；熟练掌握短期借款、应付账款、应交消费税、应付票据、应付职工薪酬、应交增值税的核算；会运用流动负债的知识解决实务处理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4.非流动负债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0" w:name="_GoBack"/>
      <w:bookmarkEnd w:id="0"/>
      <w:proofErr w:type="gramStart"/>
      <w:r>
        <w:rPr>
          <w:rFonts w:ascii="宋体" w:hAnsi="宋体" w:hint="eastAsia"/>
          <w:sz w:val="24"/>
        </w:rPr>
        <w:t>了解非</w:t>
      </w:r>
      <w:proofErr w:type="gramEnd"/>
      <w:r>
        <w:rPr>
          <w:rFonts w:ascii="宋体" w:hAnsi="宋体" w:hint="eastAsia"/>
          <w:sz w:val="24"/>
        </w:rPr>
        <w:t>流动负债的概念、特点及内容；理解应付债券的概念、内容及分类，长期应付款的内容，借款费用的概念和内容，借款费用资本化的条件；掌握长期借款、应付债券、预计负债等业务核算；熟练掌握借款费用资本</w:t>
      </w:r>
      <w:proofErr w:type="gramStart"/>
      <w:r>
        <w:rPr>
          <w:rFonts w:ascii="宋体" w:hAnsi="宋体" w:hint="eastAsia"/>
          <w:sz w:val="24"/>
        </w:rPr>
        <w:t>化金额</w:t>
      </w:r>
      <w:proofErr w:type="gramEnd"/>
      <w:r>
        <w:rPr>
          <w:rFonts w:ascii="宋体" w:hAnsi="宋体" w:hint="eastAsia"/>
          <w:sz w:val="24"/>
        </w:rPr>
        <w:t>的计算；会运用非流动资产相关知识解决业务处理问题。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5.所有者权益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所有者权益与负债的区别；理解其他权益工具的核算内容、库存股的含义；掌握所有者权益的概念及构成内容，资本公积、其他综合收益的来源及其核算，留存收益的内容和用途；熟练掌握实收资本（或股本）的核算，其他综合收益的核算，留存收益的核算；会运用所有者权益知识解决业务处理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6.收入、费用与利润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收入确认条件，费用的确认；理解利润分配的内容和程序；掌握收入的概念、分类及其核算，费用的概念、分类，销售费用、管理费用、财务费用的内容及其核算，所得税费用的确认方法，利润的构成及计算，营业外收支的内容及其核算；熟练掌握销售商品或出售原材料的一般业务、提供服务收入的核算，利润及利润分配的核算方法；会运用收入、费用确认相关知识解决实务处理问题。</w:t>
      </w:r>
    </w:p>
    <w:p w:rsidR="00655CC1" w:rsidRDefault="003A34F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四、财务报表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财务报表的概念、作用、分类及编制要求；理解现金流量表的作用，现金流量表的内容，附注的内容及其作用；掌握资产负债表的概念、内容和结构，利润表的概念、内容和结构，现金流量表的概念，现金流量的分类，所有者权益</w:t>
      </w:r>
      <w:r>
        <w:rPr>
          <w:rFonts w:ascii="宋体" w:hAnsi="宋体" w:hint="eastAsia"/>
          <w:sz w:val="24"/>
        </w:rPr>
        <w:lastRenderedPageBreak/>
        <w:t>变动表的概念，所有者权益变动表的内容；熟练掌握资产负债表、利润表、现金流量表的编制方法。会运用报表编制原理与方法熟练编制各类报表。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五、财务管理概论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财务管理的产生与发展，了解财务管理的基本原则与基本环节；理解财务管理的经济环境、法律环境；掌握财务管理的金融环境；熟练掌握财务管理的主要目标，相关者的冲突与协调、财务管理的概念、内容；会运用财务管理基本知识分析问题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六、财务管理基本观念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了解货币时间价值的观念、证券估价的意义；理解</w:t>
      </w:r>
      <w:proofErr w:type="gramStart"/>
      <w:r>
        <w:rPr>
          <w:rFonts w:ascii="宋体" w:hAnsi="宋体" w:hint="eastAsia"/>
          <w:sz w:val="24"/>
        </w:rPr>
        <w:t>资风险</w:t>
      </w:r>
      <w:proofErr w:type="gramEnd"/>
      <w:r>
        <w:rPr>
          <w:rFonts w:ascii="宋体" w:hAnsi="宋体" w:hint="eastAsia"/>
          <w:sz w:val="24"/>
        </w:rPr>
        <w:t>价值的观念，风险与报酬的关系；掌握风险与风险价值的度量方法，证券估价的基本方法；熟练掌握货币时间价值的计算方法，包括复利现值和终值的计算，年金终值与现值的计算；会运用资本资产定价模型的解决实际问题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七、财务分析与评价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了解财务分析的含义与目的、基本框架、分析依据；理解财务分析的基本方法；掌握财务能力指标的计算及其应用；熟练掌握企业综合财务分析的方法；会运用财务分析方法解决实际问题。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八、资本筹资</w:t>
      </w:r>
    </w:p>
    <w:p w:rsidR="00655CC1" w:rsidRDefault="003A34FF">
      <w:pPr>
        <w:spacing w:line="360" w:lineRule="auto"/>
        <w:ind w:firstLineChars="300" w:firstLine="723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1.权益资本筹集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企业筹资的动机与原则，企业筹资的渠道与方式；理解投入资本筹资、普通股筹资、优先股筹资、认股权证等权益筹资程序与相关法律规定；掌握预测筹资数量的方法与技巧；熟练掌握销售百分比法的运用；会运用筹资方法解决实际业务问题。</w:t>
      </w:r>
    </w:p>
    <w:p w:rsidR="00655CC1" w:rsidRDefault="003A34FF">
      <w:pPr>
        <w:spacing w:line="360" w:lineRule="auto"/>
        <w:ind w:firstLineChars="300" w:firstLine="723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2.债务资本筹集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长期借款的种类、条件、程序；理解证券评级的经济含义，融资租赁的程序与租金支付方式；掌握短期筹资的方式和方法，公司债券发行价格的计算；熟练掌握融资租赁的租金计算方法与应用，商业信用成本的计算；会运用融资方法与原理解决实务问题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九.资本成本与资本结构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了解资本成本、边际成本的概念、作用及影响因素，了解西方资本结构理论</w:t>
      </w:r>
      <w:r>
        <w:rPr>
          <w:rFonts w:ascii="宋体" w:hAnsi="宋体" w:hint="eastAsia"/>
          <w:sz w:val="24"/>
        </w:rPr>
        <w:lastRenderedPageBreak/>
        <w:t>的发展历程；理解杠杆的作用原理、成本习性理论；掌握个别资本成本的计算，资本结构决策分析方法的应用；熟练掌握经营杠杆、财务杠杆和复合杠杆系数的计算及其应用；会运用杠杆原理知识解决实务问题。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十、资本预算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了解资本预算的内涵；理解投资决策分析指标的含义；掌握项目投资决策的方法的应用；熟练掌握投资决策基本方法的计算与应用方法；会运用投资决策方法解决实际问题。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十一、营运资金管理</w:t>
      </w:r>
    </w:p>
    <w:p w:rsidR="00655CC1" w:rsidRDefault="003A3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营运资本的概念与特点，企业持有现金的动机和成本；理解应收账款的功能与成本，存货日常管理的内容与方法；掌握营运资本管理的原则和政策，现金管理的基本方法和模型；熟练掌握信用政策的构成与决策，存货经济订购批量模型与应用；会运用营运资本相关知识解决实际问题。</w:t>
      </w:r>
    </w:p>
    <w:p w:rsidR="00655CC1" w:rsidRDefault="003A34FF">
      <w:pPr>
        <w:spacing w:line="360" w:lineRule="auto"/>
        <w:ind w:firstLineChars="200" w:firstLine="482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十二、利润分配管理</w:t>
      </w:r>
    </w:p>
    <w:p w:rsidR="00655CC1" w:rsidRDefault="003A34FF">
      <w:pPr>
        <w:spacing w:line="360" w:lineRule="auto"/>
        <w:ind w:firstLineChars="200" w:firstLine="48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了解股利的理论；理解股利的政策因素；掌握股利支付的形式和程序、企业利润分配的概念、项目、原则与程序；熟练掌握</w:t>
      </w:r>
      <w:r>
        <w:rPr>
          <w:rFonts w:ascii="宋体" w:hAnsi="宋体"/>
          <w:sz w:val="24"/>
        </w:rPr>
        <w:t>股利分配政策的特点及应用，股票股利、投票分割和股票回购的</w:t>
      </w:r>
      <w:proofErr w:type="gramStart"/>
      <w:r>
        <w:rPr>
          <w:rFonts w:ascii="宋体" w:hAnsi="宋体"/>
          <w:sz w:val="24"/>
        </w:rPr>
        <w:t>意及其</w:t>
      </w:r>
      <w:proofErr w:type="gramEnd"/>
      <w:r>
        <w:rPr>
          <w:rFonts w:ascii="宋体" w:hAnsi="宋体"/>
          <w:sz w:val="24"/>
        </w:rPr>
        <w:t>影响</w:t>
      </w:r>
      <w:r>
        <w:rPr>
          <w:rFonts w:ascii="宋体" w:hAnsi="宋体" w:hint="eastAsia"/>
          <w:sz w:val="24"/>
        </w:rPr>
        <w:t>；会运用股利分配方法解决实际问题</w:t>
      </w:r>
      <w:r>
        <w:rPr>
          <w:rFonts w:ascii="宋体" w:hAnsi="宋体"/>
          <w:sz w:val="24"/>
        </w:rPr>
        <w:t>。</w:t>
      </w:r>
    </w:p>
    <w:p w:rsidR="00655CC1" w:rsidRDefault="003A34FF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Ⅱ．考试形式、试卷结构及参考书</w:t>
      </w:r>
    </w:p>
    <w:p w:rsidR="00655CC1" w:rsidRDefault="003A34FF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一、考试形式</w:t>
      </w:r>
    </w:p>
    <w:p w:rsidR="00655CC1" w:rsidRDefault="003A34FF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考试采用闭卷、笔试形式。试卷满分200分，考试时间150分钟。</w:t>
      </w:r>
    </w:p>
    <w:p w:rsidR="00655CC1" w:rsidRDefault="003A34FF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二、试卷结构</w:t>
      </w:r>
    </w:p>
    <w:p w:rsidR="00655CC1" w:rsidRDefault="003A34FF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试卷包括单项选择题、多项选择题、判断题、计算分析题及综合题等五种题型。</w:t>
      </w:r>
    </w:p>
    <w:p w:rsidR="00655CC1" w:rsidRDefault="003A34FF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单选题30分</w:t>
      </w:r>
    </w:p>
    <w:p w:rsidR="00655CC1" w:rsidRDefault="003A34FF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多选题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>分</w:t>
      </w:r>
    </w:p>
    <w:p w:rsidR="00655CC1" w:rsidRDefault="003A34FF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判断题10分</w:t>
      </w:r>
    </w:p>
    <w:p w:rsidR="00655CC1" w:rsidRDefault="003A34FF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计算分析题55分</w:t>
      </w:r>
    </w:p>
    <w:p w:rsidR="00655CC1" w:rsidRDefault="003A34FF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hint="eastAsia"/>
          <w:sz w:val="24"/>
        </w:rPr>
        <w:t>综合题</w:t>
      </w:r>
      <w:r>
        <w:rPr>
          <w:rFonts w:ascii="宋体" w:hAnsi="宋体" w:cs="宋体" w:hint="eastAsia"/>
          <w:sz w:val="24"/>
        </w:rPr>
        <w:t>60分。</w:t>
      </w:r>
    </w:p>
    <w:p w:rsidR="00655CC1" w:rsidRDefault="003A34FF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三、参考书</w:t>
      </w:r>
    </w:p>
    <w:p w:rsidR="00655CC1" w:rsidRDefault="003A34FF">
      <w:pPr>
        <w:pStyle w:val="1"/>
        <w:widowControl/>
        <w:shd w:val="clear" w:color="auto" w:fill="FFFFFF"/>
        <w:spacing w:before="0" w:beforeAutospacing="0" w:after="0" w:afterAutospacing="0" w:line="360" w:lineRule="auto"/>
        <w:ind w:firstLineChars="100" w:firstLine="240"/>
        <w:rPr>
          <w:rFonts w:cs="宋体" w:hint="default"/>
          <w:b w:val="0"/>
          <w:bCs/>
          <w:kern w:val="2"/>
          <w:sz w:val="24"/>
          <w:szCs w:val="24"/>
        </w:rPr>
      </w:pPr>
      <w:r>
        <w:rPr>
          <w:rFonts w:ascii="Times New Roman" w:hAnsi="Times New Roman"/>
          <w:b w:val="0"/>
          <w:bCs/>
          <w:kern w:val="2"/>
          <w:sz w:val="24"/>
          <w:szCs w:val="24"/>
        </w:rPr>
        <w:lastRenderedPageBreak/>
        <w:t>（</w:t>
      </w:r>
      <w:r>
        <w:rPr>
          <w:rFonts w:ascii="Times New Roman" w:hAnsi="Times New Roman"/>
          <w:b w:val="0"/>
          <w:bCs/>
          <w:kern w:val="2"/>
          <w:sz w:val="24"/>
          <w:szCs w:val="24"/>
        </w:rPr>
        <w:t>1</w:t>
      </w:r>
      <w:r>
        <w:rPr>
          <w:rFonts w:cs="宋体"/>
          <w:b w:val="0"/>
          <w:bCs/>
          <w:kern w:val="2"/>
          <w:sz w:val="24"/>
          <w:szCs w:val="24"/>
        </w:rPr>
        <w:t xml:space="preserve">）戴德明 </w:t>
      </w:r>
      <w:proofErr w:type="gramStart"/>
      <w:r>
        <w:rPr>
          <w:rFonts w:cs="宋体"/>
          <w:b w:val="0"/>
          <w:bCs/>
          <w:kern w:val="2"/>
          <w:sz w:val="24"/>
          <w:szCs w:val="24"/>
        </w:rPr>
        <w:t>林钢</w:t>
      </w:r>
      <w:proofErr w:type="gramEnd"/>
      <w:r>
        <w:rPr>
          <w:rFonts w:cs="宋体"/>
          <w:b w:val="0"/>
          <w:bCs/>
          <w:kern w:val="2"/>
          <w:sz w:val="24"/>
          <w:szCs w:val="24"/>
        </w:rPr>
        <w:t xml:space="preserve"> </w:t>
      </w:r>
      <w:proofErr w:type="gramStart"/>
      <w:r>
        <w:rPr>
          <w:rFonts w:cs="宋体"/>
          <w:b w:val="0"/>
          <w:bCs/>
          <w:kern w:val="2"/>
          <w:sz w:val="24"/>
          <w:szCs w:val="24"/>
        </w:rPr>
        <w:t>赵西</w:t>
      </w:r>
      <w:proofErr w:type="gramEnd"/>
      <w:r>
        <w:rPr>
          <w:rFonts w:cs="宋体"/>
          <w:b w:val="0"/>
          <w:bCs/>
          <w:kern w:val="2"/>
          <w:sz w:val="24"/>
          <w:szCs w:val="24"/>
        </w:rPr>
        <w:t>卜.《财务会计学》（第13版）（“十二五”普通高等教育本科国家级规划教材，中国人民大学出版社</w:t>
      </w:r>
      <w:r>
        <w:rPr>
          <w:rFonts w:cs="宋体"/>
          <w:b w:val="0"/>
          <w:bCs/>
          <w:color w:val="000000"/>
          <w:kern w:val="0"/>
          <w:sz w:val="24"/>
          <w:szCs w:val="24"/>
        </w:rPr>
        <w:t>，2022年4月（书号：</w:t>
      </w:r>
      <w:r>
        <w:rPr>
          <w:rFonts w:cs="宋体"/>
          <w:b w:val="0"/>
          <w:bCs/>
          <w:kern w:val="2"/>
          <w:sz w:val="24"/>
          <w:szCs w:val="24"/>
        </w:rPr>
        <w:t>978-7-300-29444-5)</w:t>
      </w:r>
    </w:p>
    <w:p w:rsidR="00655CC1" w:rsidRDefault="003A34FF">
      <w:pPr>
        <w:spacing w:line="360" w:lineRule="auto"/>
        <w:ind w:firstLineChars="100" w:firstLine="240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（2）王化成、刘俊彦、荆新编著,《财务管理学》(第九版)，中国人民大学出版社，2021年6月（书号：</w:t>
      </w:r>
      <w:r>
        <w:rPr>
          <w:rFonts w:ascii="宋体" w:hAnsi="宋体" w:cs="宋体" w:hint="eastAsia"/>
          <w:sz w:val="24"/>
        </w:rPr>
        <w:t>ISBN 978-7-300-29391-2</w:t>
      </w:r>
      <w:r>
        <w:rPr>
          <w:rFonts w:ascii="宋体" w:hAnsi="宋体" w:cs="宋体" w:hint="eastAsia"/>
          <w:bCs/>
          <w:sz w:val="24"/>
        </w:rPr>
        <w:t>）</w:t>
      </w:r>
    </w:p>
    <w:p w:rsidR="00655CC1" w:rsidRDefault="00655CC1">
      <w:pPr>
        <w:ind w:firstLineChars="100" w:firstLine="240"/>
        <w:rPr>
          <w:bCs/>
          <w:sz w:val="24"/>
        </w:rPr>
      </w:pPr>
    </w:p>
    <w:sectPr w:rsidR="00655CC1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FCE" w:rsidRDefault="00E30FCE">
      <w:r>
        <w:separator/>
      </w:r>
    </w:p>
  </w:endnote>
  <w:endnote w:type="continuationSeparator" w:id="0">
    <w:p w:rsidR="00E30FCE" w:rsidRDefault="00E30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FCE" w:rsidRDefault="00E30FCE">
      <w:r>
        <w:separator/>
      </w:r>
    </w:p>
  </w:footnote>
  <w:footnote w:type="continuationSeparator" w:id="0">
    <w:p w:rsidR="00E30FCE" w:rsidRDefault="00E30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CC1" w:rsidRDefault="00655CC1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427437F"/>
    <w:multiLevelType w:val="singleLevel"/>
    <w:tmpl w:val="9427437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jYTA5ZjA3ZmUzMDJiZTNhMWFhYjVlMTg1MjFjMGUifQ=="/>
  </w:docVars>
  <w:rsids>
    <w:rsidRoot w:val="002C61A5"/>
    <w:rsid w:val="00026FA0"/>
    <w:rsid w:val="0009554E"/>
    <w:rsid w:val="0011313A"/>
    <w:rsid w:val="0022760F"/>
    <w:rsid w:val="002A649E"/>
    <w:rsid w:val="002C61A5"/>
    <w:rsid w:val="0035012B"/>
    <w:rsid w:val="003A34FF"/>
    <w:rsid w:val="003E4BE9"/>
    <w:rsid w:val="004C7D14"/>
    <w:rsid w:val="004E20FB"/>
    <w:rsid w:val="00555B96"/>
    <w:rsid w:val="0059302E"/>
    <w:rsid w:val="005C1FAA"/>
    <w:rsid w:val="005D1E0D"/>
    <w:rsid w:val="00655CC1"/>
    <w:rsid w:val="006E04C3"/>
    <w:rsid w:val="007700AA"/>
    <w:rsid w:val="0080451B"/>
    <w:rsid w:val="00806180"/>
    <w:rsid w:val="00823499"/>
    <w:rsid w:val="008A28E2"/>
    <w:rsid w:val="008B2BB6"/>
    <w:rsid w:val="00911FD1"/>
    <w:rsid w:val="00A67CB5"/>
    <w:rsid w:val="00B8439F"/>
    <w:rsid w:val="00CA7ACA"/>
    <w:rsid w:val="00CC005C"/>
    <w:rsid w:val="00D07240"/>
    <w:rsid w:val="00E060CC"/>
    <w:rsid w:val="00E30FCE"/>
    <w:rsid w:val="00E87585"/>
    <w:rsid w:val="00EC7DEC"/>
    <w:rsid w:val="00ED4569"/>
    <w:rsid w:val="00F020CD"/>
    <w:rsid w:val="00F256EB"/>
    <w:rsid w:val="00F72F66"/>
    <w:rsid w:val="00FE5D3D"/>
    <w:rsid w:val="032A4546"/>
    <w:rsid w:val="07490996"/>
    <w:rsid w:val="08AC44CA"/>
    <w:rsid w:val="09287B09"/>
    <w:rsid w:val="09922494"/>
    <w:rsid w:val="0A21341B"/>
    <w:rsid w:val="0A827FB6"/>
    <w:rsid w:val="0B90440E"/>
    <w:rsid w:val="0BD239F5"/>
    <w:rsid w:val="0C6F00E5"/>
    <w:rsid w:val="0E705E6D"/>
    <w:rsid w:val="107C2116"/>
    <w:rsid w:val="128F5351"/>
    <w:rsid w:val="12993026"/>
    <w:rsid w:val="148C6577"/>
    <w:rsid w:val="15AD0A1B"/>
    <w:rsid w:val="17123BAE"/>
    <w:rsid w:val="17751367"/>
    <w:rsid w:val="18523F14"/>
    <w:rsid w:val="185632CE"/>
    <w:rsid w:val="18D35180"/>
    <w:rsid w:val="18DA39B4"/>
    <w:rsid w:val="19D454DE"/>
    <w:rsid w:val="1A15645A"/>
    <w:rsid w:val="1DCA6F0C"/>
    <w:rsid w:val="20423836"/>
    <w:rsid w:val="21837F15"/>
    <w:rsid w:val="21E43EE3"/>
    <w:rsid w:val="23646DB0"/>
    <w:rsid w:val="23BF4B92"/>
    <w:rsid w:val="245E6F20"/>
    <w:rsid w:val="250F1B12"/>
    <w:rsid w:val="25DB386D"/>
    <w:rsid w:val="28004417"/>
    <w:rsid w:val="2BA20196"/>
    <w:rsid w:val="2D6D1E38"/>
    <w:rsid w:val="2D862BD3"/>
    <w:rsid w:val="2E7A08BA"/>
    <w:rsid w:val="2F9B0B02"/>
    <w:rsid w:val="310B3A83"/>
    <w:rsid w:val="317F49CC"/>
    <w:rsid w:val="31EF65FF"/>
    <w:rsid w:val="32240B65"/>
    <w:rsid w:val="330319AD"/>
    <w:rsid w:val="3303652C"/>
    <w:rsid w:val="33805F18"/>
    <w:rsid w:val="34DE160B"/>
    <w:rsid w:val="35FF3C93"/>
    <w:rsid w:val="387737AC"/>
    <w:rsid w:val="39E42002"/>
    <w:rsid w:val="3BBD0B80"/>
    <w:rsid w:val="3BDC04F6"/>
    <w:rsid w:val="3C7D47FC"/>
    <w:rsid w:val="3DB86D2C"/>
    <w:rsid w:val="40CD3D63"/>
    <w:rsid w:val="439B68FD"/>
    <w:rsid w:val="45EF4EDC"/>
    <w:rsid w:val="46B04A59"/>
    <w:rsid w:val="491F4817"/>
    <w:rsid w:val="4940545F"/>
    <w:rsid w:val="499F0AA3"/>
    <w:rsid w:val="49D66DB1"/>
    <w:rsid w:val="4A5420D2"/>
    <w:rsid w:val="4AD847C3"/>
    <w:rsid w:val="4BEB26D8"/>
    <w:rsid w:val="4E135FAE"/>
    <w:rsid w:val="4E454257"/>
    <w:rsid w:val="4EBC71AA"/>
    <w:rsid w:val="51434751"/>
    <w:rsid w:val="520B75C3"/>
    <w:rsid w:val="54B8345B"/>
    <w:rsid w:val="556077C9"/>
    <w:rsid w:val="571758A2"/>
    <w:rsid w:val="585328C9"/>
    <w:rsid w:val="59516C04"/>
    <w:rsid w:val="5A7C6F61"/>
    <w:rsid w:val="5AED1980"/>
    <w:rsid w:val="5B305D11"/>
    <w:rsid w:val="5BBC2F66"/>
    <w:rsid w:val="5C121297"/>
    <w:rsid w:val="5D1B0FD6"/>
    <w:rsid w:val="62706914"/>
    <w:rsid w:val="63C35D60"/>
    <w:rsid w:val="64DA5735"/>
    <w:rsid w:val="6C0B2CBB"/>
    <w:rsid w:val="6D12227C"/>
    <w:rsid w:val="704D259C"/>
    <w:rsid w:val="709D22D7"/>
    <w:rsid w:val="71443DB6"/>
    <w:rsid w:val="72CF6814"/>
    <w:rsid w:val="73937C93"/>
    <w:rsid w:val="74C303E5"/>
    <w:rsid w:val="78411105"/>
    <w:rsid w:val="79515831"/>
    <w:rsid w:val="7A3C1DEA"/>
    <w:rsid w:val="7B0E6A08"/>
    <w:rsid w:val="7D885FD9"/>
    <w:rsid w:val="7DF641FA"/>
    <w:rsid w:val="7FC51B88"/>
    <w:rsid w:val="7FF0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BF9C84"/>
  <w15:docId w15:val="{C2917A86-37C9-4B5E-A41D-3BA8E6B5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">
    <w:name w:val="正文 New New New"/>
    <w:qFormat/>
    <w:pPr>
      <w:widowControl w:val="0"/>
      <w:jc w:val="both"/>
    </w:pPr>
    <w:rPr>
      <w:kern w:val="2"/>
      <w:sz w:val="21"/>
    </w:rPr>
  </w:style>
  <w:style w:type="paragraph" w:customStyle="1" w:styleId="3New">
    <w:name w:val="正文文本缩进 3 New"/>
    <w:basedOn w:val="NewNewNew"/>
    <w:pPr>
      <w:tabs>
        <w:tab w:val="left" w:pos="5040"/>
        <w:tab w:val="left" w:pos="5580"/>
      </w:tabs>
      <w:spacing w:line="0" w:lineRule="atLeast"/>
      <w:ind w:left="360"/>
    </w:pPr>
    <w:rPr>
      <w:rFonts w:ascii="黑体" w:eastAsia="黑体"/>
    </w:rPr>
  </w:style>
  <w:style w:type="paragraph" w:customStyle="1" w:styleId="NewNewNewNewNew">
    <w:name w:val="正文 New New New New New"/>
    <w:pPr>
      <w:widowControl w:val="0"/>
      <w:jc w:val="both"/>
    </w:pPr>
    <w:rPr>
      <w:kern w:val="2"/>
      <w:sz w:val="21"/>
    </w:rPr>
  </w:style>
  <w:style w:type="paragraph" w:customStyle="1" w:styleId="NewNewNewNew">
    <w:name w:val="正文 New New New New"/>
    <w:pPr>
      <w:widowControl w:val="0"/>
      <w:jc w:val="both"/>
    </w:pPr>
    <w:rPr>
      <w:kern w:val="2"/>
      <w:sz w:val="21"/>
    </w:rPr>
  </w:style>
  <w:style w:type="paragraph" w:customStyle="1" w:styleId="NewNewNewNewNewNewNewNew">
    <w:name w:val="正文 New New New New New New New New"/>
    <w:pPr>
      <w:widowControl w:val="0"/>
      <w:jc w:val="both"/>
    </w:pPr>
    <w:rPr>
      <w:kern w:val="2"/>
      <w:sz w:val="21"/>
    </w:rPr>
  </w:style>
  <w:style w:type="paragraph" w:customStyle="1" w:styleId="NewNewNewNewNewNew">
    <w:name w:val="正文 New New New New New New"/>
    <w:pPr>
      <w:widowControl w:val="0"/>
      <w:jc w:val="both"/>
    </w:pPr>
    <w:rPr>
      <w:kern w:val="2"/>
      <w:sz w:val="21"/>
    </w:rPr>
  </w:style>
  <w:style w:type="paragraph" w:customStyle="1" w:styleId="NewNewNewNewNewNewNew">
    <w:name w:val="正文 New New New New New New New"/>
    <w:pPr>
      <w:widowControl w:val="0"/>
      <w:jc w:val="both"/>
    </w:pPr>
    <w:rPr>
      <w:kern w:val="2"/>
      <w:sz w:val="21"/>
    </w:rPr>
  </w:style>
  <w:style w:type="paragraph" w:customStyle="1" w:styleId="NewNewNewNewNewNewNewNewNew">
    <w:name w:val="正文 New New New New New New New New New"/>
    <w:pPr>
      <w:widowControl w:val="0"/>
      <w:jc w:val="both"/>
    </w:pPr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563</Words>
  <Characters>3212</Characters>
  <Application>Microsoft Office Word</Application>
  <DocSecurity>0</DocSecurity>
  <Lines>26</Lines>
  <Paragraphs>7</Paragraphs>
  <ScaleCrop>false</ScaleCrop>
  <Company>WWW.YlmF.CoM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《秘书写作》考试大纲</dc:title>
  <dc:creator>雨林木风</dc:creator>
  <cp:lastModifiedBy>Administrator</cp:lastModifiedBy>
  <cp:revision>4</cp:revision>
  <cp:lastPrinted>2022-03-04T02:10:00Z</cp:lastPrinted>
  <dcterms:created xsi:type="dcterms:W3CDTF">2021-03-07T00:25:00Z</dcterms:created>
  <dcterms:modified xsi:type="dcterms:W3CDTF">2024-02-01T07:14:00Z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B0DD05A1C17A4EFA8E35FE2BC4E05F21_13</vt:lpwstr>
  </property>
</Properties>
</file>