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长沙学院202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</w:rPr>
        <w:t>年专升本免试生测试</w:t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及录取细则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根据《关于做好2024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年湖南省普通高等学校专升本考试招生工作的通知》（湘教发〔202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号）文件精神，结合我校实际，特制定本细则。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一、测试对象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我校依据专业人才培养要求，组织对退役大学生士兵、竞赛获奖学生进行职业适应性或职业技能测试，取得的测试成绩作为录取的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依据。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获得省级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职业院校技能竞赛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一等奖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可免于参加综合能力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，测试成绩按40分计。荣立三等功及以上的退役大学生士兵可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免试直接录取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二、测试时间及地点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，具体安排另行通知。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地点：长沙学院校内。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三、综合评价</w:t>
      </w:r>
    </w:p>
    <w:p>
      <w:pPr>
        <w:spacing w:line="360" w:lineRule="auto"/>
        <w:ind w:firstLine="640" w:firstLineChars="200"/>
        <w:jc w:val="left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（一）评价标准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职业适应性或职业技能测试满分100分，其中综合能力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0分、在校或服役期间表现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0分。具体评价维度、评价要点及分值见下表：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520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评价维度</w:t>
            </w:r>
          </w:p>
        </w:tc>
        <w:tc>
          <w:tcPr>
            <w:tcW w:w="52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评价要点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综合能力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试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自我介绍：考察考生的精神面貌、语言表达、文字组织、逻辑思维等综合素质。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评委提问：考核考生的专业能力、职业适应性、职业目标定位等。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在校或服役期间表现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考察考生的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学习成绩、在校或服役期间获奖等情况。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</w:t>
            </w:r>
          </w:p>
        </w:tc>
      </w:tr>
    </w:tbl>
    <w:p>
      <w:pPr>
        <w:spacing w:line="360" w:lineRule="auto"/>
        <w:jc w:val="left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评价方式及程序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评委专家对考生的现场面试和佐证材料进行综合评价。</w:t>
      </w:r>
    </w:p>
    <w:p>
      <w:pPr>
        <w:pStyle w:val="4"/>
        <w:widowControl/>
        <w:ind w:firstLine="64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1.面试：包括自我介绍和评委提问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2.评委查阅佐证材料。包括：考生基本情况、学业成绩单、在校或服役期间的表现、获奖情况等；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3.评委综合评分。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四、录取规则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录取工作按照“公开、公平、公正”原则及“学校负责、招办监督”的机制组织进行。录取规则如下：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1.依据考生综合评价的得分，从高到低择优录取；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2.荣立三等功及以上的退役大学生士兵可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免试直接录取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widowControl/>
        <w:autoSpaceDE w:val="0"/>
        <w:spacing w:line="435" w:lineRule="atLeas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五、违规违纪处理</w:t>
      </w:r>
    </w:p>
    <w:p>
      <w:pPr>
        <w:widowControl/>
        <w:autoSpaceDE w:val="0"/>
        <w:spacing w:line="435" w:lineRule="atLeast"/>
        <w:ind w:firstLine="555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在招生考试过程中违规违纪的考生，按照《国家教育考试违规处理办法》、《普通高等学校招生违规行为处理暂行办法》等规定严肃处理。对有弄虚作假等作弊行为的考生，我校不予录取，并上报上级主管部门。</w:t>
      </w:r>
    </w:p>
    <w:p>
      <w:pPr>
        <w:widowControl/>
        <w:autoSpaceDE w:val="0"/>
        <w:spacing w:line="435" w:lineRule="atLeast"/>
        <w:ind w:firstLine="555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经查实属提供虚假成绩材料、替考、冒名顶替入学等违规行为的，取消该生录取资格，并上报上级主管部门进行倒查追责，依法处理。</w:t>
      </w:r>
    </w:p>
    <w:p>
      <w:pPr>
        <w:widowControl/>
        <w:autoSpaceDE w:val="0"/>
        <w:spacing w:line="435" w:lineRule="atLeast"/>
        <w:ind w:firstLine="555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六、联系方式</w:t>
      </w:r>
      <w:r>
        <w:rPr>
          <w:rFonts w:ascii="Calibri" w:hAnsi="Calibri" w:eastAsia="仿宋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b/>
          <w:bCs/>
          <w:color w:val="000000"/>
          <w:kern w:val="0"/>
          <w:sz w:val="32"/>
          <w:szCs w:val="32"/>
        </w:rPr>
        <w:t> 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学籍科：0</w:t>
      </w:r>
      <w:r>
        <w:rPr>
          <w:rFonts w:ascii="仿宋" w:hAnsi="仿宋" w:eastAsia="仿宋" w:cs="仿宋"/>
          <w:sz w:val="32"/>
          <w:szCs w:val="32"/>
        </w:rPr>
        <w:t>731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ascii="仿宋" w:hAnsi="仿宋" w:eastAsia="仿宋" w:cs="仿宋"/>
          <w:sz w:val="32"/>
          <w:szCs w:val="32"/>
        </w:rPr>
        <w:t>84261340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B99010-56AC-4B82-AC24-85913A6FEE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2B4EABB-19CC-4CA4-A734-6BD1301D48F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39478B9-13D7-49B1-B12B-0DED3A9CFD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B381F33-520B-4546-9FEE-DEB9F7921F5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7347DA9-ADA4-4098-AB3A-7F92CEF2E34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070174"/>
    <w:multiLevelType w:val="singleLevel"/>
    <w:tmpl w:val="6F07017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jk4OTNkMTFhODk1ODFlZGRmNWE2MTdhZmIxNTUifQ=="/>
  </w:docVars>
  <w:rsids>
    <w:rsidRoot w:val="00FB1297"/>
    <w:rsid w:val="000D315E"/>
    <w:rsid w:val="00222137"/>
    <w:rsid w:val="002D6261"/>
    <w:rsid w:val="004212D4"/>
    <w:rsid w:val="00506399"/>
    <w:rsid w:val="00B701DA"/>
    <w:rsid w:val="00C53B34"/>
    <w:rsid w:val="00D4562E"/>
    <w:rsid w:val="00EE159C"/>
    <w:rsid w:val="00FB1297"/>
    <w:rsid w:val="01D9220B"/>
    <w:rsid w:val="029D7B15"/>
    <w:rsid w:val="07B925FC"/>
    <w:rsid w:val="0D1672FF"/>
    <w:rsid w:val="0D4C4C1F"/>
    <w:rsid w:val="144C7353"/>
    <w:rsid w:val="15485D0C"/>
    <w:rsid w:val="1FD343A7"/>
    <w:rsid w:val="22833775"/>
    <w:rsid w:val="234A7A6D"/>
    <w:rsid w:val="2A7E4769"/>
    <w:rsid w:val="334938E6"/>
    <w:rsid w:val="37505FE1"/>
    <w:rsid w:val="3AE07F59"/>
    <w:rsid w:val="3B6925DE"/>
    <w:rsid w:val="3C9B707B"/>
    <w:rsid w:val="42F93E86"/>
    <w:rsid w:val="441F6A48"/>
    <w:rsid w:val="4C7C4761"/>
    <w:rsid w:val="525B021A"/>
    <w:rsid w:val="54D270D9"/>
    <w:rsid w:val="5886288F"/>
    <w:rsid w:val="5ECB5306"/>
    <w:rsid w:val="60082FFD"/>
    <w:rsid w:val="63F34661"/>
    <w:rsid w:val="66780DB4"/>
    <w:rsid w:val="668B6F70"/>
    <w:rsid w:val="67307F23"/>
    <w:rsid w:val="67A06F2C"/>
    <w:rsid w:val="6A2857A0"/>
    <w:rsid w:val="6C451AE2"/>
    <w:rsid w:val="6D3276C6"/>
    <w:rsid w:val="71D049D9"/>
    <w:rsid w:val="72083068"/>
    <w:rsid w:val="738E13CF"/>
    <w:rsid w:val="73B35627"/>
    <w:rsid w:val="73C60B68"/>
    <w:rsid w:val="74C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rFonts w:ascii="Times New Roman" w:hAnsi="Times New Roman" w:cs="Times New Roman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817</Words>
  <Characters>862</Characters>
  <Lines>6</Lines>
  <Paragraphs>1</Paragraphs>
  <TotalTime>31</TotalTime>
  <ScaleCrop>false</ScaleCrop>
  <LinksUpToDate>false</LinksUpToDate>
  <CharactersWithSpaces>897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菁</cp:lastModifiedBy>
  <cp:lastPrinted>2024-03-11T02:49:30Z</cp:lastPrinted>
  <dcterms:modified xsi:type="dcterms:W3CDTF">2024-03-11T04:41:01Z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F12EEA98870B4451B3CC9824F0ED1251</vt:lpwstr>
  </property>
</Properties>
</file>